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B5" w:rsidRPr="00A94790" w:rsidRDefault="000E78B5" w:rsidP="000E78B5">
      <w:pPr>
        <w:tabs>
          <w:tab w:val="clear" w:pos="1418"/>
          <w:tab w:val="left" w:pos="2767"/>
        </w:tabs>
        <w:spacing w:line="240" w:lineRule="auto"/>
        <w:ind w:firstLine="0"/>
        <w:jc w:val="left"/>
        <w:rPr>
          <w:rFonts w:ascii="Times New Roman" w:eastAsia="Times New Roman" w:hAnsi="Times New Roman"/>
          <w:sz w:val="22"/>
          <w:lang w:eastAsia="pt-PT"/>
        </w:rPr>
      </w:pPr>
      <w:bookmarkStart w:id="0" w:name="_GoBack"/>
      <w:bookmarkEnd w:id="0"/>
      <w:r w:rsidRPr="00A94790">
        <w:rPr>
          <w:rFonts w:ascii="Times New Roman" w:eastAsia="Times New Roman" w:hAnsi="Times New Roman"/>
          <w:bCs/>
          <w:sz w:val="22"/>
          <w:lang w:eastAsia="pt-PT"/>
        </w:rPr>
        <w:t>5578/09.OTVLSB.L1.S1.</w:t>
      </w:r>
      <w:r w:rsidRPr="00A94790">
        <w:rPr>
          <w:rFonts w:ascii="Times New Roman" w:eastAsia="Times New Roman" w:hAnsi="Times New Roman"/>
          <w:sz w:val="22"/>
          <w:lang w:eastAsia="pt-PT"/>
        </w:rPr>
        <w:tab/>
      </w:r>
      <w:r w:rsidRPr="00A94790">
        <w:rPr>
          <w:rFonts w:ascii="Times New Roman" w:eastAsia="Times New Roman" w:hAnsi="Times New Roman"/>
          <w:noProof/>
          <w:sz w:val="22"/>
          <w:lang w:eastAsia="pt-PT"/>
        </w:rPr>
        <w:drawing>
          <wp:inline distT="0" distB="0" distL="0" distR="0">
            <wp:extent cx="6985" cy="6985"/>
            <wp:effectExtent l="0" t="0" r="0" b="0"/>
            <wp:docPr id="10" name="Imagem 1"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0E78B5" w:rsidRPr="00A94790" w:rsidRDefault="000E78B5" w:rsidP="000E78B5">
      <w:pPr>
        <w:tabs>
          <w:tab w:val="clear" w:pos="1418"/>
        </w:tabs>
        <w:spacing w:line="240" w:lineRule="auto"/>
        <w:ind w:firstLine="0"/>
        <w:jc w:val="left"/>
        <w:rPr>
          <w:rFonts w:ascii="Times New Roman" w:eastAsia="Times New Roman" w:hAnsi="Times New Roman"/>
          <w:sz w:val="22"/>
          <w:lang w:eastAsia="pt-PT"/>
        </w:rPr>
      </w:pP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Nº Convencional:</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7ª SECÇÃO</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Relator:</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SILVA GONÇALVES</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Descritores:</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CONFLITO DE COMPETÊNCIA</w:t>
      </w:r>
      <w:r w:rsidRPr="00A94790">
        <w:rPr>
          <w:rFonts w:ascii="Times New Roman" w:eastAsia="Times New Roman" w:hAnsi="Times New Roman"/>
          <w:bCs/>
          <w:sz w:val="22"/>
          <w:lang w:eastAsia="pt-PT"/>
        </w:rPr>
        <w:br/>
        <w:t>TRIBUNAL DE COMÉRCIO</w:t>
      </w:r>
      <w:r w:rsidRPr="00A94790">
        <w:rPr>
          <w:rFonts w:ascii="Times New Roman" w:eastAsia="Times New Roman" w:hAnsi="Times New Roman"/>
          <w:bCs/>
          <w:sz w:val="22"/>
          <w:lang w:eastAsia="pt-PT"/>
        </w:rPr>
        <w:br/>
        <w:t>ACÇÕES RELATIVAS AO EXERCÍCIO DE DIREITOS SOCIAIS</w:t>
      </w:r>
      <w:r w:rsidRPr="00A94790">
        <w:rPr>
          <w:rFonts w:ascii="Times New Roman" w:eastAsia="Times New Roman" w:hAnsi="Times New Roman"/>
          <w:bCs/>
          <w:sz w:val="22"/>
          <w:lang w:eastAsia="pt-PT"/>
        </w:rPr>
        <w:br/>
        <w:t>ACÇÃO UT SINGULI</w:t>
      </w:r>
      <w:r w:rsidRPr="00A94790">
        <w:rPr>
          <w:rFonts w:ascii="Times New Roman" w:eastAsia="Times New Roman" w:hAnsi="Times New Roman"/>
          <w:bCs/>
          <w:sz w:val="22"/>
          <w:lang w:eastAsia="pt-PT"/>
        </w:rPr>
        <w:br/>
        <w:t>ACÇÃO UTI UNIVERSI</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noProof/>
          <w:sz w:val="22"/>
          <w:lang w:eastAsia="pt-PT"/>
        </w:rPr>
        <w:drawing>
          <wp:inline distT="0" distB="0" distL="0" distR="0">
            <wp:extent cx="6985" cy="6985"/>
            <wp:effectExtent l="0" t="0" r="0" b="0"/>
            <wp:docPr id="11" name="Imagem 2"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A94790">
        <w:rPr>
          <w:rFonts w:ascii="Times New Roman" w:eastAsia="Times New Roman" w:hAnsi="Times New Roman"/>
          <w:sz w:val="22"/>
          <w:lang w:eastAsia="pt-PT"/>
        </w:rPr>
        <w:tab/>
      </w:r>
      <w:r w:rsidRPr="00A94790">
        <w:rPr>
          <w:rFonts w:ascii="Times New Roman" w:eastAsia="Times New Roman" w:hAnsi="Times New Roman"/>
          <w:noProof/>
          <w:sz w:val="22"/>
          <w:lang w:eastAsia="pt-PT"/>
        </w:rPr>
        <w:drawing>
          <wp:inline distT="0" distB="0" distL="0" distR="0">
            <wp:extent cx="6985" cy="6985"/>
            <wp:effectExtent l="0" t="0" r="0" b="0"/>
            <wp:docPr id="12" name="Imagem 3"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Data do Acordão:</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15-09-2011</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Votação:</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UNANIMIDADE</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Texto Integral:</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S</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Privacidade:</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1</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noProof/>
          <w:sz w:val="22"/>
          <w:lang w:eastAsia="pt-PT"/>
        </w:rPr>
        <w:drawing>
          <wp:inline distT="0" distB="0" distL="0" distR="0">
            <wp:extent cx="6985" cy="6985"/>
            <wp:effectExtent l="0" t="0" r="0" b="0"/>
            <wp:docPr id="13" name="Imagem 4"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A94790">
        <w:rPr>
          <w:rFonts w:ascii="Times New Roman" w:eastAsia="Times New Roman" w:hAnsi="Times New Roman"/>
          <w:sz w:val="22"/>
          <w:lang w:eastAsia="pt-PT"/>
        </w:rPr>
        <w:tab/>
      </w:r>
      <w:r w:rsidRPr="00A94790">
        <w:rPr>
          <w:rFonts w:ascii="Times New Roman" w:eastAsia="Times New Roman" w:hAnsi="Times New Roman"/>
          <w:noProof/>
          <w:sz w:val="22"/>
          <w:lang w:eastAsia="pt-PT"/>
        </w:rPr>
        <w:drawing>
          <wp:inline distT="0" distB="0" distL="0" distR="0">
            <wp:extent cx="6985" cy="6985"/>
            <wp:effectExtent l="0" t="0" r="0" b="0"/>
            <wp:docPr id="14" name="Imagem 5"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Meio Processual:</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REVISTA</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Decisão:</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NEGADA A REVISTA</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Área Temática:</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DIREITO PROCESSUAL CIVIL - COMPETÊNCIA INTERNA (EM RAZÂO DA MATÉRIA)</w:t>
      </w:r>
      <w:r w:rsidRPr="00A94790">
        <w:rPr>
          <w:rFonts w:ascii="Times New Roman" w:eastAsia="Times New Roman" w:hAnsi="Times New Roman"/>
          <w:bCs/>
          <w:sz w:val="22"/>
          <w:lang w:eastAsia="pt-PT"/>
        </w:rPr>
        <w:br/>
        <w:t xml:space="preserve">DIREITO DAS SOCIEDADES COMERCIAIS - ADMINISTRAÇÃO E FISCALIZAÇÃO (RESPONSABILIDADE CIVIL) </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Doutrina:</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 xml:space="preserve">- Brito Correia, Direito Comercial, Sociedades Comerciais, vol. II, 4.ª, p. 305 e segs.. </w:t>
      </w:r>
      <w:r w:rsidRPr="00A94790">
        <w:rPr>
          <w:rFonts w:ascii="Times New Roman" w:eastAsia="Times New Roman" w:hAnsi="Times New Roman"/>
          <w:bCs/>
          <w:sz w:val="22"/>
          <w:lang w:eastAsia="pt-PT"/>
        </w:rPr>
        <w:br/>
        <w:t xml:space="preserve">- Coutinho de Abreu, Curso de Direito Comercial, vol. II, Das Sociedades, p. 205 e segs.. </w:t>
      </w:r>
      <w:r w:rsidRPr="00A94790">
        <w:rPr>
          <w:rFonts w:ascii="Times New Roman" w:eastAsia="Times New Roman" w:hAnsi="Times New Roman"/>
          <w:bCs/>
          <w:sz w:val="22"/>
          <w:lang w:eastAsia="pt-PT"/>
        </w:rPr>
        <w:br/>
        <w:t>- Ferrer Correia, Sociedades Comerciais (policopiado), p. 348 e segs..</w:t>
      </w:r>
      <w:r w:rsidRPr="00A94790">
        <w:rPr>
          <w:rFonts w:ascii="Times New Roman" w:eastAsia="Times New Roman" w:hAnsi="Times New Roman"/>
          <w:bCs/>
          <w:sz w:val="22"/>
          <w:lang w:eastAsia="pt-PT"/>
        </w:rPr>
        <w:br/>
        <w:t>- Paulo Olavo e Cunha, in “Breve Nota sobre os Direitos dos Sócios (das sociedades responsabilidade limitada) no âmbito do Código das Sociedades Comerciais”, in Novas Perspectivas do Direito Comercial.</w:t>
      </w:r>
      <w:r w:rsidRPr="00A94790">
        <w:rPr>
          <w:rFonts w:ascii="Times New Roman" w:eastAsia="Times New Roman" w:hAnsi="Times New Roman"/>
          <w:bCs/>
          <w:sz w:val="22"/>
          <w:lang w:eastAsia="pt-PT"/>
        </w:rPr>
        <w:br/>
        <w:t>- Pupo Correia, Direito Comercial, 7.ª ed., p. 517.</w:t>
      </w:r>
      <w:r w:rsidRPr="00A94790">
        <w:rPr>
          <w:rFonts w:ascii="Times New Roman" w:eastAsia="Times New Roman" w:hAnsi="Times New Roman"/>
          <w:bCs/>
          <w:sz w:val="22"/>
          <w:lang w:eastAsia="pt-PT"/>
        </w:rPr>
        <w:br/>
        <w:t>- Raul Ventura, Reflexões sobre Direitos dos Sócios, C.J., Ano IX– 1984, Tomo 2, pág.7.</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Legislação Nacional:</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CÓDIGO DE PROCESSO CIVIL (CPC): - ARTIGOS 67.º</w:t>
      </w:r>
      <w:r w:rsidRPr="00A94790">
        <w:rPr>
          <w:rFonts w:ascii="Times New Roman" w:eastAsia="Times New Roman" w:hAnsi="Times New Roman"/>
          <w:bCs/>
          <w:sz w:val="22"/>
          <w:lang w:eastAsia="pt-PT"/>
        </w:rPr>
        <w:br/>
        <w:t>L.O.F.T.J. (LEI 3/99, DE 13.01): - ARTIGOS 18.º, NºS 1 E 2, 77.º, N.º1, AL. A), 89.º N.º1, AL.ª C).</w:t>
      </w:r>
      <w:r w:rsidRPr="00A94790">
        <w:rPr>
          <w:rFonts w:ascii="Times New Roman" w:eastAsia="Times New Roman" w:hAnsi="Times New Roman"/>
          <w:bCs/>
          <w:sz w:val="22"/>
          <w:lang w:eastAsia="pt-PT"/>
        </w:rPr>
        <w:br/>
        <w:t>CÓDIGO DAS SOCIEDADES COMERCIAIS (CSC): - ARTIGOS 64.º, 72.º, N.º1, 75.º.</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Jurisprudência Nacional:</w:t>
      </w:r>
      <w:r w:rsidRPr="00A94790">
        <w:rPr>
          <w:rFonts w:ascii="Times New Roman" w:eastAsia="Times New Roman" w:hAnsi="Times New Roman"/>
          <w:sz w:val="22"/>
          <w:lang w:eastAsia="pt-PT"/>
        </w:rPr>
        <w:tab/>
      </w:r>
      <w:r w:rsidRPr="00A94790">
        <w:rPr>
          <w:rFonts w:ascii="Times New Roman" w:eastAsia="Times New Roman" w:hAnsi="Times New Roman"/>
          <w:bCs/>
          <w:sz w:val="22"/>
          <w:lang w:eastAsia="pt-PT"/>
        </w:rPr>
        <w:t>ACÓRDÃOS DO SUPREMO TRIBUNAL DE JUSTIÇA:</w:t>
      </w:r>
      <w:r w:rsidRPr="00A94790">
        <w:rPr>
          <w:rFonts w:ascii="Times New Roman" w:eastAsia="Times New Roman" w:hAnsi="Times New Roman"/>
          <w:bCs/>
          <w:sz w:val="22"/>
          <w:lang w:eastAsia="pt-PT"/>
        </w:rPr>
        <w:br/>
        <w:t>-DE 17/9/2009, EM WWW.DGSI.PT;</w:t>
      </w:r>
      <w:r w:rsidRPr="00A94790">
        <w:rPr>
          <w:rFonts w:ascii="Times New Roman" w:eastAsia="Times New Roman" w:hAnsi="Times New Roman"/>
          <w:bCs/>
          <w:sz w:val="22"/>
          <w:lang w:eastAsia="pt-PT"/>
        </w:rPr>
        <w:br/>
        <w:t>-DE 11/1/2011, EM WWW.DGSI.PT .</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noProof/>
          <w:sz w:val="22"/>
          <w:lang w:eastAsia="pt-PT"/>
        </w:rPr>
        <w:drawing>
          <wp:inline distT="0" distB="0" distL="0" distR="0">
            <wp:extent cx="6985" cy="6985"/>
            <wp:effectExtent l="0" t="0" r="0" b="0"/>
            <wp:docPr id="15" name="Imagem 6"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A94790">
        <w:rPr>
          <w:rFonts w:ascii="Times New Roman" w:eastAsia="Times New Roman" w:hAnsi="Times New Roman"/>
          <w:sz w:val="22"/>
          <w:lang w:eastAsia="pt-PT"/>
        </w:rPr>
        <w:tab/>
      </w:r>
      <w:r w:rsidRPr="00A94790">
        <w:rPr>
          <w:rFonts w:ascii="Times New Roman" w:eastAsia="Times New Roman" w:hAnsi="Times New Roman"/>
          <w:noProof/>
          <w:sz w:val="22"/>
          <w:lang w:eastAsia="pt-PT"/>
        </w:rPr>
        <w:drawing>
          <wp:inline distT="0" distB="0" distL="0" distR="0">
            <wp:extent cx="6985" cy="6985"/>
            <wp:effectExtent l="0" t="0" r="0" b="0"/>
            <wp:docPr id="16" name="Imagem 7"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0E78B5" w:rsidRPr="00A94790" w:rsidRDefault="000E78B5" w:rsidP="000E78B5">
      <w:pPr>
        <w:tabs>
          <w:tab w:val="clear" w:pos="1418"/>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Sumário :</w:t>
      </w:r>
      <w:r w:rsidRPr="00A94790">
        <w:rPr>
          <w:rFonts w:ascii="Times New Roman" w:eastAsia="Times New Roman" w:hAnsi="Times New Roman"/>
          <w:sz w:val="22"/>
          <w:lang w:eastAsia="pt-PT"/>
        </w:rPr>
        <w:tab/>
      </w:r>
      <w:r w:rsidRPr="00A94790">
        <w:rPr>
          <w:rFonts w:ascii="Times New Roman" w:eastAsia="Times New Roman" w:hAnsi="Times New Roman"/>
          <w:sz w:val="22"/>
          <w:lang w:eastAsia="pt-PT"/>
        </w:rPr>
        <w:br/>
        <w:t xml:space="preserve">I - O Tribunal de Comércio é um Tribunal de competência especializada afirmado no art.º 89.º da Lei de Organização e Funcionamento dos Tribunais Judiciais (Lei n.º 3/99, de 13.01), competindo a este tipo de tribunais preparar e julgar as </w:t>
      </w:r>
      <w:r w:rsidRPr="00A94790">
        <w:rPr>
          <w:rFonts w:ascii="Times New Roman" w:eastAsia="Times New Roman" w:hAnsi="Times New Roman"/>
          <w:bCs/>
          <w:i/>
          <w:iCs/>
          <w:sz w:val="22"/>
          <w:lang w:eastAsia="pt-PT"/>
        </w:rPr>
        <w:t>acções relativas ao exercício de direitos sociais</w:t>
      </w:r>
      <w:r w:rsidRPr="00A94790">
        <w:rPr>
          <w:rFonts w:ascii="Times New Roman" w:eastAsia="Times New Roman" w:hAnsi="Times New Roman"/>
          <w:sz w:val="22"/>
          <w:lang w:eastAsia="pt-PT"/>
        </w:rPr>
        <w:t xml:space="preserve">, (cfr. art.º 89.º n.º1, al.ª c), da LOFTJ.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II - A par da própria sociedade podem também os sócios, fazendo uso da igualmente denominada acção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w:t>
      </w:r>
      <w:r w:rsidRPr="00A94790">
        <w:rPr>
          <w:rFonts w:ascii="Times New Roman" w:eastAsia="Times New Roman" w:hAnsi="Times New Roman"/>
          <w:bCs/>
          <w:i/>
          <w:iCs/>
          <w:sz w:val="22"/>
          <w:lang w:eastAsia="pt-PT"/>
        </w:rPr>
        <w:t>isoladamente, a título particular</w:t>
      </w:r>
      <w:r w:rsidRPr="00A94790">
        <w:rPr>
          <w:rFonts w:ascii="Times New Roman" w:eastAsia="Times New Roman" w:hAnsi="Times New Roman"/>
          <w:sz w:val="22"/>
          <w:lang w:eastAsia="pt-PT"/>
        </w:rPr>
        <w:t xml:space="preserve">), propor acção social de responsabilidade contra </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ou administradores, com vista a obterem, a favor da sociedade, a reparação do prejuízo que esta tenha sofrido, quando a mesma o não tenha feito. Esta última acção incluiu-se no espaço jurídico-substantivo dos direitos sociais de que fala o art.º 89.º n.º1, al.ª c), da LOFTJ.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lastRenderedPageBreak/>
        <w:t>III - Este juízo que acabamos de fazer sobre a acção social dos sócios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na qual o direito exercido pelos sócios é um direito da sociedade (não próprio) e através da qual se procura efectivar a responsabilidade dos </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e/ou administradores perante ela, naturalmente se estende também aos casos da acção </w:t>
      </w:r>
      <w:r w:rsidRPr="00A94790">
        <w:rPr>
          <w:rFonts w:ascii="Times New Roman" w:eastAsia="Times New Roman" w:hAnsi="Times New Roman"/>
          <w:bCs/>
          <w:i/>
          <w:iCs/>
          <w:sz w:val="22"/>
          <w:lang w:eastAsia="pt-PT"/>
        </w:rPr>
        <w:t xml:space="preserve">ut universi. </w:t>
      </w:r>
    </w:p>
    <w:p w:rsidR="000E78B5" w:rsidRPr="00A94790" w:rsidRDefault="000E78B5" w:rsidP="000E78B5">
      <w:pPr>
        <w:tabs>
          <w:tab w:val="clear" w:pos="1418"/>
          <w:tab w:val="left" w:pos="5534"/>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IV - Na verdade, quando a sociedade se apresenta, ela própria, a demandar os seus ex-</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ou ex-administradores, responsabilizando-os pelo desprezo a que votaram os seus deveres de cuidado e lealdade, não é só em nome próprio que age mas, igualmente, está ela a acautelar, mesmo que reflexamente, o particularizado interesse dos sócios, o fim último de todo o exercício da sua actividade comercial.</w:t>
      </w:r>
    </w:p>
    <w:p w:rsidR="000E78B5" w:rsidRPr="00A94790" w:rsidRDefault="000E78B5" w:rsidP="000E78B5">
      <w:pPr>
        <w:tabs>
          <w:tab w:val="clear" w:pos="1418"/>
          <w:tab w:val="left" w:pos="5534"/>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noProof/>
          <w:sz w:val="22"/>
          <w:lang w:eastAsia="pt-PT"/>
        </w:rPr>
        <w:drawing>
          <wp:inline distT="0" distB="0" distL="0" distR="0">
            <wp:extent cx="6985" cy="6985"/>
            <wp:effectExtent l="0" t="0" r="0" b="0"/>
            <wp:docPr id="17" name="Imagem 8"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A94790">
        <w:rPr>
          <w:rFonts w:ascii="Times New Roman" w:eastAsia="Times New Roman" w:hAnsi="Times New Roman"/>
          <w:sz w:val="22"/>
          <w:lang w:eastAsia="pt-PT"/>
        </w:rPr>
        <w:tab/>
      </w:r>
      <w:r w:rsidRPr="00A94790">
        <w:rPr>
          <w:rFonts w:ascii="Times New Roman" w:eastAsia="Times New Roman" w:hAnsi="Times New Roman"/>
          <w:noProof/>
          <w:sz w:val="22"/>
          <w:lang w:eastAsia="pt-PT"/>
        </w:rPr>
        <w:drawing>
          <wp:inline distT="0" distB="0" distL="0" distR="0">
            <wp:extent cx="6985" cy="6985"/>
            <wp:effectExtent l="0" t="0" r="0" b="0"/>
            <wp:docPr id="18" name="Imagem 9" descr="http://www.dgsi.pt/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gsi.pt/icons/ecblank.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0E78B5" w:rsidRPr="00A94790" w:rsidRDefault="000E78B5" w:rsidP="000E78B5">
      <w:pPr>
        <w:tabs>
          <w:tab w:val="clear" w:pos="1418"/>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Decisão Texto Integral:</w:t>
      </w:r>
      <w:r w:rsidRPr="00A94790">
        <w:rPr>
          <w:rFonts w:ascii="Times New Roman" w:eastAsia="Times New Roman" w:hAnsi="Times New Roman"/>
          <w:sz w:val="22"/>
          <w:lang w:eastAsia="pt-PT"/>
        </w:rPr>
        <w:tab/>
      </w:r>
      <w:r w:rsidRPr="00A94790">
        <w:rPr>
          <w:rFonts w:ascii="Times New Roman" w:eastAsia="Times New Roman" w:hAnsi="Times New Roman"/>
          <w:sz w:val="22"/>
          <w:lang w:eastAsia="pt-PT"/>
        </w:rPr>
        <w:br/>
        <w:t xml:space="preserve">Acordam no Supremo Tribunal de Justiça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“AA, SA”</w:t>
      </w:r>
      <w:r w:rsidRPr="00A94790">
        <w:rPr>
          <w:rFonts w:ascii="Times New Roman" w:eastAsia="Times New Roman" w:hAnsi="Times New Roman"/>
          <w:sz w:val="22"/>
          <w:lang w:eastAsia="pt-PT"/>
        </w:rPr>
        <w:t xml:space="preserve"> instaurou a presente acção declarativa, com processo ordinário, contra </w:t>
      </w:r>
      <w:r w:rsidRPr="00A94790">
        <w:rPr>
          <w:rFonts w:ascii="Times New Roman" w:eastAsia="Times New Roman" w:hAnsi="Times New Roman"/>
          <w:bCs/>
          <w:sz w:val="22"/>
          <w:lang w:eastAsia="pt-PT"/>
        </w:rPr>
        <w:t>BB</w:t>
      </w:r>
      <w:r w:rsidRPr="00A94790">
        <w:rPr>
          <w:rFonts w:ascii="Times New Roman" w:eastAsia="Times New Roman" w:hAnsi="Times New Roman"/>
          <w:sz w:val="22"/>
          <w:lang w:eastAsia="pt-PT"/>
        </w:rPr>
        <w:t xml:space="preserve"> e outros pedindo a condenação solidária dos réus a pagar-lhe: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 A quantia de EUR 482.514,10, acrescida de juros de mora, à taxa legal, vencidos desde 31/3/2009 e vincendos, até integral pagamento;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 A quantia que se vier a liquidar, a título de indemnização, pelos prejuízos sofridos pela A., respeitante ao acréscimo de encargos da sua responsabilidade emergente do aumento das remunerações dos RR no período de Janeiro a Junho de 2008, nomeadamente as contribuições para a segurança social, as prestações para outros sistemas de previdência e assistência social e os prémios de seguro de acidentes de trabalho.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Para tanto, alega, em síntese: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Os RR. foram administradores da Autora até 24 de Junho de 2008, data em que cessaram funções;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Em Abril de 2008, o 1.º Réu, na qualidade de Presidente do Conselho de Administração da Autora, determinou à Direcção de Recursos Humanos da Autora que procedesse à alteração da remuneração dos Réus, com efeitos retroactivos a Janeiro daquele ano, por forma a que os respectivos valores brutos passassem a corresponder à sua remuneração líquida, o que efectivamente sucedeu;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Tal deliberação é nula por se tratar de matéria da competência da Assembleia-geral de accionistas;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Devido à actuação dos réus, violadora dos seus deveres de diligência (art. 64º, CSC), a autora sofreu diversos danos, que descrimina, e cujo ressarcimento pede nesta acção (art. 72º, n.º 1 do CSC).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A acção foi contestada. Além do mais, foi deduzida a excepção de incompetência material da Vara Cível para conhecer desta acção.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Findos os articulados, foi proferido despacho que julgou procedente a excepção de incompetência material do Tribunal Cível de Lisboa e absolveu os réus da instância.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lastRenderedPageBreak/>
        <w:t xml:space="preserve">Desta decisão recorreu a autora para a Relação de Lisboa que, por Acórdão de 30.07.2010 (cfr. fls. 901 a 306), confirmou a sentença recorrida.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O </w:t>
      </w:r>
      <w:r w:rsidRPr="00A94790">
        <w:rPr>
          <w:rFonts w:ascii="Times New Roman" w:eastAsia="Times New Roman" w:hAnsi="Times New Roman"/>
          <w:bCs/>
          <w:sz w:val="22"/>
          <w:lang w:eastAsia="pt-PT"/>
        </w:rPr>
        <w:t>“AA, SA”</w:t>
      </w:r>
      <w:r w:rsidRPr="00A94790">
        <w:rPr>
          <w:rFonts w:ascii="Times New Roman" w:eastAsia="Times New Roman" w:hAnsi="Times New Roman"/>
          <w:sz w:val="22"/>
          <w:lang w:eastAsia="pt-PT"/>
        </w:rPr>
        <w:t xml:space="preserve"> interpôs </w:t>
      </w:r>
      <w:r w:rsidRPr="00A94790">
        <w:rPr>
          <w:rFonts w:ascii="Times New Roman" w:eastAsia="Times New Roman" w:hAnsi="Times New Roman"/>
          <w:bCs/>
          <w:i/>
          <w:iCs/>
          <w:sz w:val="22"/>
          <w:lang w:eastAsia="pt-PT"/>
        </w:rPr>
        <w:t>recurso extraordinário de revista</w:t>
      </w:r>
      <w:r w:rsidRPr="00A94790">
        <w:rPr>
          <w:rFonts w:ascii="Times New Roman" w:eastAsia="Times New Roman" w:hAnsi="Times New Roman"/>
          <w:sz w:val="22"/>
          <w:lang w:eastAsia="pt-PT"/>
        </w:rPr>
        <w:t xml:space="preserve">, assim admitido por Acórdão deste Supremo Tribunal de 19/05/2011 (cfr. fls.947 a 951), apresentando as seguintes conclusões: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 xml:space="preserve">I. </w:t>
      </w:r>
      <w:r w:rsidRPr="00A94790">
        <w:rPr>
          <w:rFonts w:ascii="Times New Roman" w:eastAsia="Times New Roman" w:hAnsi="Times New Roman"/>
          <w:sz w:val="22"/>
          <w:lang w:eastAsia="pt-PT"/>
        </w:rPr>
        <w:t xml:space="preserve">A acção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prevista no art.° 77.° do Código das Sociedades Comerciais parte da iniciativa de um sócio que, no exercício de uma faculdade legal, se substitui à sociedade, para efeitos de legitimação na acção.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II.</w:t>
      </w:r>
      <w:r w:rsidRPr="00A94790">
        <w:rPr>
          <w:rFonts w:ascii="Times New Roman" w:eastAsia="Times New Roman" w:hAnsi="Times New Roman"/>
          <w:sz w:val="22"/>
          <w:lang w:eastAsia="pt-PT"/>
        </w:rPr>
        <w:t xml:space="preserve"> A presente acção não foi intentada por um sócio, mas pela própria sociedade contra os seus ex-administradores;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III.</w:t>
      </w:r>
      <w:r w:rsidRPr="00A94790">
        <w:rPr>
          <w:rFonts w:ascii="Times New Roman" w:eastAsia="Times New Roman" w:hAnsi="Times New Roman"/>
          <w:sz w:val="22"/>
          <w:lang w:eastAsia="pt-PT"/>
        </w:rPr>
        <w:t xml:space="preserve"> Não se trata, sequer, de uma acção </w:t>
      </w:r>
      <w:r w:rsidRPr="00A94790">
        <w:rPr>
          <w:rFonts w:ascii="Times New Roman" w:eastAsia="Times New Roman" w:hAnsi="Times New Roman"/>
          <w:bCs/>
          <w:i/>
          <w:iCs/>
          <w:sz w:val="22"/>
          <w:lang w:eastAsia="pt-PT"/>
        </w:rPr>
        <w:t>ut universi</w:t>
      </w:r>
      <w:r w:rsidRPr="00A94790">
        <w:rPr>
          <w:rFonts w:ascii="Times New Roman" w:eastAsia="Times New Roman" w:hAnsi="Times New Roman"/>
          <w:sz w:val="22"/>
          <w:lang w:eastAsia="pt-PT"/>
        </w:rPr>
        <w:t xml:space="preserve">, pois que, em rigor, não se discute a existência de responsabilidade civil dos administradores, mas sim uma obrigação de restituição do indevido;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IV.</w:t>
      </w:r>
      <w:r w:rsidRPr="00A94790">
        <w:rPr>
          <w:rFonts w:ascii="Times New Roman" w:eastAsia="Times New Roman" w:hAnsi="Times New Roman"/>
          <w:sz w:val="22"/>
          <w:lang w:eastAsia="pt-PT"/>
        </w:rPr>
        <w:t xml:space="preserve"> E mesmo na acção </w:t>
      </w:r>
      <w:r w:rsidRPr="00A94790">
        <w:rPr>
          <w:rFonts w:ascii="Times New Roman" w:eastAsia="Times New Roman" w:hAnsi="Times New Roman"/>
          <w:bCs/>
          <w:i/>
          <w:iCs/>
          <w:sz w:val="22"/>
          <w:lang w:eastAsia="pt-PT"/>
        </w:rPr>
        <w:t>ut universi</w:t>
      </w:r>
      <w:r w:rsidRPr="00A94790">
        <w:rPr>
          <w:rFonts w:ascii="Times New Roman" w:eastAsia="Times New Roman" w:hAnsi="Times New Roman"/>
          <w:sz w:val="22"/>
          <w:lang w:eastAsia="pt-PT"/>
        </w:rPr>
        <w:t xml:space="preserve"> o direito é apenas um e de um só titular - a sociedade -, admitindo-se apenas a substituição processual do sócio na sua interposição caso a sociedade a não faça, sendo o resultado dessa acção sempre em favor da sociedade e nunca do sócio que interpôs a acção em benefício desta, prova evidente de que nenhum direito assiste ao sócio a este respeito e de que o mesmo não é titular de qualquer "direito social";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V.</w:t>
      </w:r>
      <w:r w:rsidRPr="00A94790">
        <w:rPr>
          <w:rFonts w:ascii="Times New Roman" w:eastAsia="Times New Roman" w:hAnsi="Times New Roman"/>
          <w:sz w:val="22"/>
          <w:lang w:eastAsia="pt-PT"/>
        </w:rPr>
        <w:t xml:space="preserve"> Não são os sócios quem originariamente e em primeira linha são titulares de um direito de acção contra os administradores da sociedade em cujo capital participam pelos danos que aqueles causaram à sociedade; é a sociedade a única titular desse direito de natureza indemnizatória, é ela a lesada e é seu o respectivo crédito que reverterá sempre a seu favor;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VI.</w:t>
      </w:r>
      <w:r w:rsidRPr="00A94790">
        <w:rPr>
          <w:rFonts w:ascii="Times New Roman" w:eastAsia="Times New Roman" w:hAnsi="Times New Roman"/>
          <w:sz w:val="22"/>
          <w:lang w:eastAsia="pt-PT"/>
        </w:rPr>
        <w:t xml:space="preserve"> A decisão recorrida, porém, inverte toda a lógica do regime jurídico acima exposto e coloca como um </w:t>
      </w:r>
      <w:r w:rsidRPr="00A94790">
        <w:rPr>
          <w:rFonts w:ascii="Times New Roman" w:eastAsia="Times New Roman" w:hAnsi="Times New Roman"/>
          <w:bCs/>
          <w:i/>
          <w:iCs/>
          <w:sz w:val="22"/>
          <w:lang w:eastAsia="pt-PT"/>
        </w:rPr>
        <w:t>a priori</w:t>
      </w:r>
      <w:r w:rsidRPr="00A94790">
        <w:rPr>
          <w:rFonts w:ascii="Times New Roman" w:eastAsia="Times New Roman" w:hAnsi="Times New Roman"/>
          <w:sz w:val="22"/>
          <w:lang w:eastAsia="pt-PT"/>
        </w:rPr>
        <w:t xml:space="preserve"> a acção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considerando que se esta consubstancia o exercício de um direito social, então, também a acção </w:t>
      </w:r>
      <w:r w:rsidRPr="00A94790">
        <w:rPr>
          <w:rFonts w:ascii="Times New Roman" w:eastAsia="Times New Roman" w:hAnsi="Times New Roman"/>
          <w:bCs/>
          <w:i/>
          <w:iCs/>
          <w:sz w:val="22"/>
          <w:lang w:eastAsia="pt-PT"/>
        </w:rPr>
        <w:t>ut universi</w:t>
      </w:r>
      <w:r w:rsidRPr="00A94790">
        <w:rPr>
          <w:rFonts w:ascii="Times New Roman" w:eastAsia="Times New Roman" w:hAnsi="Times New Roman"/>
          <w:sz w:val="22"/>
          <w:lang w:eastAsia="pt-PT"/>
        </w:rPr>
        <w:t xml:space="preserve"> será um exercício de um direito social.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VII.</w:t>
      </w:r>
      <w:r w:rsidRPr="00A94790">
        <w:rPr>
          <w:rFonts w:ascii="Times New Roman" w:eastAsia="Times New Roman" w:hAnsi="Times New Roman"/>
          <w:sz w:val="22"/>
          <w:lang w:eastAsia="pt-PT"/>
        </w:rPr>
        <w:t xml:space="preserve"> Os direitos sociais são direitos próprios e originários dos sócios, que lhes são conferidos em virtude dessa qualidade e que são exercidos no seu âmbito - trata-se de uma relação subjectivada e que nada tem a ver com a "vida da sociedade", tendo antes um âmbito muito mais restrito da posição de cada sócio em face da sociedade e em face dos demais sócios.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VIII.</w:t>
      </w:r>
      <w:r w:rsidRPr="00A94790">
        <w:rPr>
          <w:rFonts w:ascii="Times New Roman" w:eastAsia="Times New Roman" w:hAnsi="Times New Roman"/>
          <w:sz w:val="22"/>
          <w:lang w:eastAsia="pt-PT"/>
        </w:rPr>
        <w:t xml:space="preserve"> Assim, nem mesmo a acção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consubstancia o exercício de um direito social, pois que o direito que se exerce por via da acção e que se pretende seja por ela efectivado não é um direito do sócio ou para o sócio, mas um direito da sociedade, que ela tem de prosseguir, intervindo a título principal na acção, e cujo cumprimento aproveita exclusivamente à sociedade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IX.</w:t>
      </w:r>
      <w:r w:rsidRPr="00A94790">
        <w:rPr>
          <w:rFonts w:ascii="Times New Roman" w:eastAsia="Times New Roman" w:hAnsi="Times New Roman"/>
          <w:sz w:val="22"/>
          <w:lang w:eastAsia="pt-PT"/>
        </w:rPr>
        <w:t xml:space="preserve"> A dimensão social da faculdade atribuída ao sócio esgota-se com a apresentação da acção e é apenas de natureza processual - confere legitimidade para o seu exercício a quem originariamente não a tinha por não ser dele titular.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w:t>
      </w:r>
      <w:r w:rsidRPr="00A94790">
        <w:rPr>
          <w:rFonts w:ascii="Times New Roman" w:eastAsia="Times New Roman" w:hAnsi="Times New Roman"/>
          <w:sz w:val="22"/>
          <w:lang w:eastAsia="pt-PT"/>
        </w:rPr>
        <w:t xml:space="preserve"> Se uma acção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não consubstancia o exercício de um direito social e a sua apreciação não estará submetida à competência dos tribunais de comércio, por maioria de razão, uma acção intentada pela própria sociedade contra os seus ex-administradores, no exercício de um direito originariamente seu, sendo uma "acção social", por respeitar à vida da sociedade, não é o exercício de um direito social (dos sócios).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lastRenderedPageBreak/>
        <w:t>XI.</w:t>
      </w:r>
      <w:r w:rsidRPr="00A94790">
        <w:rPr>
          <w:rFonts w:ascii="Times New Roman" w:eastAsia="Times New Roman" w:hAnsi="Times New Roman"/>
          <w:sz w:val="22"/>
          <w:lang w:eastAsia="pt-PT"/>
        </w:rPr>
        <w:t xml:space="preserve"> A mera atribuição da legitimidade aos sócios para se substituírem à sociedade na interposição de uma acção contra os administradores não é sequer um direito subjectivo, mas, se como tal for considerado, é forçoso concluir que tal qualificação se restringe à própria substituição da sociedade pelo sócio no exercício do verdadeiro direito subjectivo - o direito à indemnização - e não contamina este que não se desvirtua, não se altera e não ganha novo titular;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XII.</w:t>
      </w:r>
      <w:r w:rsidRPr="00A94790">
        <w:rPr>
          <w:rFonts w:ascii="Times New Roman" w:eastAsia="Times New Roman" w:hAnsi="Times New Roman"/>
          <w:sz w:val="22"/>
          <w:lang w:eastAsia="pt-PT"/>
        </w:rPr>
        <w:t xml:space="preserve"> E sendo "social" a possibilidade de um sócio se substituir à sociedade na demanda contra um administrador, já não constitui exercício de direito social a própria demanda em si, nem o direito cujo reconhecimento e efectivação ali se pretende, pois a acção exprime um direito próprio da sociedade, esperando-se, </w:t>
      </w:r>
      <w:r w:rsidRPr="00A94790">
        <w:rPr>
          <w:rFonts w:ascii="Times New Roman" w:eastAsia="Times New Roman" w:hAnsi="Times New Roman"/>
          <w:bCs/>
          <w:i/>
          <w:iCs/>
          <w:sz w:val="22"/>
          <w:lang w:eastAsia="pt-PT"/>
        </w:rPr>
        <w:t>ope legis</w:t>
      </w:r>
      <w:r w:rsidRPr="00A94790">
        <w:rPr>
          <w:rFonts w:ascii="Times New Roman" w:eastAsia="Times New Roman" w:hAnsi="Times New Roman"/>
          <w:sz w:val="22"/>
          <w:lang w:eastAsia="pt-PT"/>
        </w:rPr>
        <w:t xml:space="preserve">, a intervenção da sociedade, que assim faz terminar a substituição, passando a assumir a posição na acção directamente, sem que alguma vez os efeitos dela emergentes se pudessem fazer sentir na esfera de outro que não ela própria.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XIII.</w:t>
      </w:r>
      <w:r w:rsidRPr="00A94790">
        <w:rPr>
          <w:rFonts w:ascii="Times New Roman" w:eastAsia="Times New Roman" w:hAnsi="Times New Roman"/>
          <w:sz w:val="22"/>
          <w:lang w:eastAsia="pt-PT"/>
        </w:rPr>
        <w:t xml:space="preserve"> A própria interposição da acção mecaniza-se por via de uma substituição processual ou, como o qualifica a doutrina e a jurisprudência, como uma verdadeira sub-rogação do sócio na posição de legitimidade da sociedade.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XIV.</w:t>
      </w:r>
      <w:r w:rsidRPr="00A94790">
        <w:rPr>
          <w:rFonts w:ascii="Times New Roman" w:eastAsia="Times New Roman" w:hAnsi="Times New Roman"/>
          <w:sz w:val="22"/>
          <w:lang w:eastAsia="pt-PT"/>
        </w:rPr>
        <w:t xml:space="preserve"> Admitindo a impropriedade desta sub-rogação legal, temos de admitir que o sócio que instaure uma tal acção social o faz na estrita medida do carácter e da natureza daquela que seria a demanda caso houvesse sido a sociedade ela mesma a intentar o procedimento, pelo que é da caracterização da acção </w:t>
      </w:r>
      <w:r w:rsidRPr="00A94790">
        <w:rPr>
          <w:rFonts w:ascii="Times New Roman" w:eastAsia="Times New Roman" w:hAnsi="Times New Roman"/>
          <w:bCs/>
          <w:i/>
          <w:iCs/>
          <w:sz w:val="22"/>
          <w:lang w:eastAsia="pt-PT"/>
        </w:rPr>
        <w:t>ut universi</w:t>
      </w:r>
      <w:r w:rsidRPr="00A94790">
        <w:rPr>
          <w:rFonts w:ascii="Times New Roman" w:eastAsia="Times New Roman" w:hAnsi="Times New Roman"/>
          <w:sz w:val="22"/>
          <w:lang w:eastAsia="pt-PT"/>
        </w:rPr>
        <w:t xml:space="preserve"> que há que partir, e não o contrário;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XV.</w:t>
      </w:r>
      <w:r w:rsidRPr="00A94790">
        <w:rPr>
          <w:rFonts w:ascii="Times New Roman" w:eastAsia="Times New Roman" w:hAnsi="Times New Roman"/>
          <w:sz w:val="22"/>
          <w:lang w:eastAsia="pt-PT"/>
        </w:rPr>
        <w:t xml:space="preserve"> Finalmente, cumpre dizer que as "grandes dificuldades e complexidades" que uma acção de responsabilidade civil dos gestores das sociedade pode envolver não pode ser critério de atribuição de competência, pois que a competência atribuída ao tribunal de comércio em matéria de sociedades é restrita e abrange apenas as acções cujo conhecimento o legislador entendeu que exige preparação técnica específica em sede de direito das sociedades.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XVI.</w:t>
      </w:r>
      <w:r w:rsidRPr="00A94790">
        <w:rPr>
          <w:rFonts w:ascii="Times New Roman" w:eastAsia="Times New Roman" w:hAnsi="Times New Roman"/>
          <w:sz w:val="22"/>
          <w:lang w:eastAsia="pt-PT"/>
        </w:rPr>
        <w:t xml:space="preserve"> E nas "acções relativas ao exercício de direitos sociais" estão incluídas, dentro do universo heterogéneo de todas as que tenham por objecto direitos tipicamente respeitantes ao funcionamento das sociedades, não só as que visam obter a regularidade desse funcionamento, mas também aquelas em que um sócio (ou um credor) exerce contra a sociedade direitos individuais com conteúdo específico de direito societário;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XVII.</w:t>
      </w:r>
      <w:r w:rsidRPr="00A94790">
        <w:rPr>
          <w:rFonts w:ascii="Times New Roman" w:eastAsia="Times New Roman" w:hAnsi="Times New Roman"/>
          <w:sz w:val="22"/>
          <w:lang w:eastAsia="pt-PT"/>
        </w:rPr>
        <w:t xml:space="preserve"> Ao contrário do critério que outrora adoptou para determinar a competência dos tribunais de comércio (competentes para julgar, em geral, as acções provenientes da prática de actos comerciais), a nova lei não atribui ao tribunal de comércio competência para julgar todas as questões relacionadas com a actividade (nem sequer com o funcionamento) das sociedades comerciais.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XVIII</w:t>
      </w:r>
      <w:r w:rsidRPr="00A94790">
        <w:rPr>
          <w:rFonts w:ascii="Times New Roman" w:eastAsia="Times New Roman" w:hAnsi="Times New Roman"/>
          <w:sz w:val="22"/>
          <w:lang w:eastAsia="pt-PT"/>
        </w:rPr>
        <w:t xml:space="preserve">. Pelo que o direito de indemnização da sociedade contra o gerente ou administrador não cabe no enunciado do art. 89°., n°. 1 , da LOFTJ.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XIX.</w:t>
      </w:r>
      <w:r w:rsidRPr="00A94790">
        <w:rPr>
          <w:rFonts w:ascii="Times New Roman" w:eastAsia="Times New Roman" w:hAnsi="Times New Roman"/>
          <w:sz w:val="22"/>
          <w:lang w:eastAsia="pt-PT"/>
        </w:rPr>
        <w:t xml:space="preserve"> É, assim, de concluir que a competência para conhecer da acção de responsabilidade contra administradores e </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quer seja movida </w:t>
      </w:r>
      <w:r w:rsidRPr="00A94790">
        <w:rPr>
          <w:rFonts w:ascii="Times New Roman" w:eastAsia="Times New Roman" w:hAnsi="Times New Roman"/>
          <w:bCs/>
          <w:i/>
          <w:iCs/>
          <w:sz w:val="22"/>
          <w:lang w:eastAsia="pt-PT"/>
        </w:rPr>
        <w:t>ut universi</w:t>
      </w:r>
      <w:r w:rsidRPr="00A94790">
        <w:rPr>
          <w:rFonts w:ascii="Times New Roman" w:eastAsia="Times New Roman" w:hAnsi="Times New Roman"/>
          <w:sz w:val="22"/>
          <w:lang w:eastAsia="pt-PT"/>
        </w:rPr>
        <w:t xml:space="preserve">, quer seja movida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não é do tribunal de comércio, mas sim do tribunal de competência genérica, por via do art.° 77.°, n°. 1, da LOFTJ.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XX.</w:t>
      </w:r>
      <w:r w:rsidRPr="00A94790">
        <w:rPr>
          <w:rFonts w:ascii="Times New Roman" w:eastAsia="Times New Roman" w:hAnsi="Times New Roman"/>
          <w:sz w:val="22"/>
          <w:lang w:eastAsia="pt-PT"/>
        </w:rPr>
        <w:t xml:space="preserve"> O acórdão recorrido viola, assim, os art.ºs 77.°, n.°1, e 89.°, n.° 1, alínea c), da LOFTJ, e encontra-se em contradição com os acórdãos da Relação do Porto, Proc. n.° 0756246, de 19.12.2007, in www.dgsi.pt. da Relação do Porto, Proc. n°. 0721243, de 13.05.2008, </w:t>
      </w:r>
      <w:r w:rsidRPr="00A94790">
        <w:rPr>
          <w:rFonts w:ascii="Times New Roman" w:eastAsia="Times New Roman" w:hAnsi="Times New Roman"/>
          <w:sz w:val="22"/>
          <w:lang w:eastAsia="pt-PT"/>
        </w:rPr>
        <w:lastRenderedPageBreak/>
        <w:t xml:space="preserve">www.dgsi.pt. da Relação de Évora, Proc. n.° 2777/07, de 28.02.2008, in Colectânea de Jurisprudência, e da Relação de Lisboa, Proc. 132/09, de 20.10.2009, in Colectânea de Jurisprudência,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XXI.</w:t>
      </w:r>
      <w:r w:rsidRPr="00A94790">
        <w:rPr>
          <w:rFonts w:ascii="Times New Roman" w:eastAsia="Times New Roman" w:hAnsi="Times New Roman"/>
          <w:sz w:val="22"/>
          <w:lang w:eastAsia="pt-PT"/>
        </w:rPr>
        <w:t xml:space="preserve"> O presente recurso deve, pois, merecer provimento e, em consequência, ser revogado o acórdão recorrido, ordenando-se o prosseguimento dos autos.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Não foram apresentadas contra-alegações.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Corridos os vistos legais cumpre decidir.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 xml:space="preserve">A questão posta no recurso é a de saber se compete aos Tribunais de Comércio o julgamento da acção intentada pela sociedade contra os seus ex-administradores, responsabilizando-os pelos prejuízos que sofreu em consequência da violação dos seus deveres de diligência (art. 64º, CSC).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I.</w:t>
      </w:r>
      <w:r w:rsidRPr="00A94790">
        <w:rPr>
          <w:rFonts w:ascii="Times New Roman" w:eastAsia="Times New Roman" w:hAnsi="Times New Roman"/>
          <w:sz w:val="22"/>
          <w:lang w:eastAsia="pt-PT"/>
        </w:rPr>
        <w:t xml:space="preserve"> As leis de organização judiciária determinam quais as causas que, em razão da matéria, são da competência dos tribunais judiciais dotados de competência especializada (art.º 67.º do C.P.Civil).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Neste enquadramento dispõe o art.º 18.º, n.º 1 e 2, da L.O.F.T.J. (Lei 3/99, de 13.01) que são da competência dos tribunais judiciais as causas que não sejam atribuídas a outra ordem jurisdicional, determinando ainda aquele diploma legal a competência em razão da matéria entre os tribunais judiciais e estabelecendo as causas que competem aos tribunais de competência específica, competindo aos tribunais de competência genérica preparar e julgar os processos relativos a causas não atribuídas a outro tribunal (art.º 77.º, n.º 1, al. a), da Lei 3/99, de 13.01).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A regra geral a atender que sobressai destes preceitos legais é, assim, a de que a competência em razão da matéria só deixa de pertencer aos tribunais de competência genérica se tal competência for atribuída a certo e determinado tribunal de competência específica, convenientemente assinalado na L.O.F.T.J.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O Tribunal de Comércio é um Tribunal de competência especializada afirmada no art.º 89.º da Lei de Organização e Funcionamento dos Tribunais Judiciais (Lei n.º 3/99, de 13.01), competindo a este tipo de tribunais, designadamente preparar e julgar as </w:t>
      </w:r>
      <w:r w:rsidRPr="00A94790">
        <w:rPr>
          <w:rFonts w:ascii="Times New Roman" w:eastAsia="Times New Roman" w:hAnsi="Times New Roman"/>
          <w:bCs/>
          <w:i/>
          <w:iCs/>
          <w:sz w:val="22"/>
          <w:lang w:eastAsia="pt-PT"/>
        </w:rPr>
        <w:t>acções relativas ao exercício de direitos sociais</w:t>
      </w:r>
      <w:r w:rsidRPr="00A94790">
        <w:rPr>
          <w:rFonts w:ascii="Times New Roman" w:eastAsia="Times New Roman" w:hAnsi="Times New Roman"/>
          <w:sz w:val="22"/>
          <w:lang w:eastAsia="pt-PT"/>
        </w:rPr>
        <w:t>, (cfr. art.º 89.º n.º1, al.ª c), da LOFTJ.</w:t>
      </w:r>
      <w:hyperlink r:id="rId6" w:anchor="_ftn1" w:history="1">
        <w:r w:rsidRPr="00A94790">
          <w:rPr>
            <w:rFonts w:ascii="Times New Roman" w:eastAsia="Times New Roman" w:hAnsi="Times New Roman"/>
            <w:bCs/>
            <w:sz w:val="22"/>
            <w:u w:val="single"/>
            <w:vertAlign w:val="superscript"/>
            <w:lang w:eastAsia="pt-PT"/>
          </w:rPr>
          <w:t>[1]</w:t>
        </w:r>
      </w:hyperlink>
      <w:r w:rsidRPr="00A94790">
        <w:rPr>
          <w:rFonts w:ascii="Times New Roman" w:eastAsia="Times New Roman" w:hAnsi="Times New Roman"/>
          <w:sz w:val="22"/>
          <w:lang w:eastAsia="pt-PT"/>
        </w:rPr>
        <w:t xml:space="preserv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O juízo sobre a competência em razão da matéria assenta no tipo da relação controvertida contextualizada na acção, tal qual ela é configurada pelo demandante na sua petição inicial.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A nossa questão é agora a de saber se a presente acção - </w:t>
      </w:r>
      <w:r w:rsidRPr="00A94790">
        <w:rPr>
          <w:rFonts w:ascii="Times New Roman" w:eastAsia="Times New Roman" w:hAnsi="Times New Roman"/>
          <w:bCs/>
          <w:i/>
          <w:iCs/>
          <w:sz w:val="22"/>
          <w:lang w:eastAsia="pt-PT"/>
        </w:rPr>
        <w:t>acção intentada pelo</w:t>
      </w:r>
      <w:r w:rsidRPr="00A94790">
        <w:rPr>
          <w:rFonts w:ascii="Times New Roman" w:eastAsia="Times New Roman" w:hAnsi="Times New Roman"/>
          <w:i/>
          <w:iCs/>
          <w:sz w:val="22"/>
          <w:lang w:eastAsia="pt-PT"/>
        </w:rPr>
        <w:t xml:space="preserve"> </w:t>
      </w:r>
      <w:r w:rsidRPr="00A94790">
        <w:rPr>
          <w:rFonts w:ascii="Times New Roman" w:eastAsia="Times New Roman" w:hAnsi="Times New Roman"/>
          <w:bCs/>
          <w:i/>
          <w:iCs/>
          <w:sz w:val="22"/>
          <w:lang w:eastAsia="pt-PT"/>
        </w:rPr>
        <w:t>“AA, SA” contra os seus ex-administradores, responsabilizando-os pelos prejuízos que sofreu em consequência da violação dos seus deveres de diligência (art. 64º, CSC)</w:t>
      </w:r>
      <w:r w:rsidRPr="00A94790">
        <w:rPr>
          <w:rFonts w:ascii="Times New Roman" w:eastAsia="Times New Roman" w:hAnsi="Times New Roman"/>
          <w:bCs/>
          <w:sz w:val="22"/>
          <w:lang w:eastAsia="pt-PT"/>
        </w:rPr>
        <w:t xml:space="preserve"> -</w:t>
      </w:r>
      <w:r w:rsidRPr="00A94790">
        <w:rPr>
          <w:rFonts w:ascii="Times New Roman" w:eastAsia="Times New Roman" w:hAnsi="Times New Roman"/>
          <w:sz w:val="22"/>
          <w:lang w:eastAsia="pt-PT"/>
        </w:rPr>
        <w:t xml:space="preserve"> se insere no grupo de </w:t>
      </w:r>
      <w:r w:rsidRPr="00A94790">
        <w:rPr>
          <w:rFonts w:ascii="Times New Roman" w:eastAsia="Times New Roman" w:hAnsi="Times New Roman"/>
          <w:bCs/>
          <w:i/>
          <w:iCs/>
          <w:sz w:val="22"/>
          <w:lang w:eastAsia="pt-PT"/>
        </w:rPr>
        <w:t>acções relativas ao exercício de direitos sociais</w:t>
      </w:r>
      <w:r w:rsidRPr="00A94790">
        <w:rPr>
          <w:rFonts w:ascii="Times New Roman" w:eastAsia="Times New Roman" w:hAnsi="Times New Roman"/>
          <w:sz w:val="22"/>
          <w:lang w:eastAsia="pt-PT"/>
        </w:rPr>
        <w:t xml:space="preserve"> e, por isso, há-de ser julgada pelos tribunais de comércio.</w:t>
      </w:r>
      <w:r w:rsidRPr="00A94790">
        <w:rPr>
          <w:rFonts w:ascii="Times New Roman" w:eastAsia="Times New Roman" w:hAnsi="Times New Roman"/>
          <w:bCs/>
          <w:sz w:val="22"/>
          <w:lang w:eastAsia="pt-PT"/>
        </w:rPr>
        <w:t xml:space="preserv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 xml:space="preserve">II. </w:t>
      </w:r>
      <w:r w:rsidRPr="00A94790">
        <w:rPr>
          <w:rFonts w:ascii="Times New Roman" w:eastAsia="Times New Roman" w:hAnsi="Times New Roman"/>
          <w:sz w:val="22"/>
          <w:lang w:eastAsia="pt-PT"/>
        </w:rPr>
        <w:t xml:space="preserve">A lei não explicita nem caracteriza de modo preciso o que deve entender-se por </w:t>
      </w:r>
      <w:r w:rsidRPr="00A94790">
        <w:rPr>
          <w:rFonts w:ascii="Times New Roman" w:eastAsia="Times New Roman" w:hAnsi="Times New Roman"/>
          <w:bCs/>
          <w:i/>
          <w:iCs/>
          <w:sz w:val="22"/>
          <w:lang w:eastAsia="pt-PT"/>
        </w:rPr>
        <w:t>direitos sociais</w:t>
      </w:r>
      <w:r w:rsidRPr="00A94790">
        <w:rPr>
          <w:rFonts w:ascii="Times New Roman" w:eastAsia="Times New Roman" w:hAnsi="Times New Roman"/>
          <w:sz w:val="22"/>
          <w:lang w:eastAsia="pt-PT"/>
        </w:rPr>
        <w:t xml:space="preserv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lastRenderedPageBreak/>
        <w:t>A jurisprudência tem-se apoiado na mais influente doutrina para alcançar este objectivado conceito</w:t>
      </w:r>
      <w:hyperlink r:id="rId7" w:anchor="_ftn2" w:history="1">
        <w:r w:rsidRPr="00A94790">
          <w:rPr>
            <w:rFonts w:ascii="Times New Roman" w:eastAsia="Times New Roman" w:hAnsi="Times New Roman"/>
            <w:bCs/>
            <w:sz w:val="22"/>
            <w:u w:val="single"/>
            <w:vertAlign w:val="superscript"/>
            <w:lang w:eastAsia="pt-PT"/>
          </w:rPr>
          <w:t>[2]</w:t>
        </w:r>
      </w:hyperlink>
      <w:r w:rsidRPr="00A94790">
        <w:rPr>
          <w:rFonts w:ascii="Times New Roman" w:eastAsia="Times New Roman" w:hAnsi="Times New Roman"/>
          <w:sz w:val="22"/>
          <w:lang w:eastAsia="pt-PT"/>
        </w:rPr>
        <w:t xml:space="preserve">; e é destas materializadas teorizações assim encontradas de que nos vamos igualmente socorrer.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Destes circunstanciados estudos resulta esta nota conclusiva: - </w:t>
      </w:r>
      <w:r w:rsidRPr="00A94790">
        <w:rPr>
          <w:rFonts w:ascii="Times New Roman" w:eastAsia="Times New Roman" w:hAnsi="Times New Roman"/>
          <w:bCs/>
          <w:i/>
          <w:iCs/>
          <w:sz w:val="22"/>
          <w:lang w:eastAsia="pt-PT"/>
        </w:rPr>
        <w:t>direitos sociais</w:t>
      </w:r>
      <w:r w:rsidRPr="00A94790">
        <w:rPr>
          <w:rFonts w:ascii="Times New Roman" w:eastAsia="Times New Roman" w:hAnsi="Times New Roman"/>
          <w:sz w:val="22"/>
          <w:lang w:eastAsia="pt-PT"/>
        </w:rPr>
        <w:t xml:space="preserve"> são todas aquelas prerrogativas dirigidas à protecção de cada sócio de uma particularizada sociedade, mercê, exclusivamente, da qualidade de sócio que lhes está conferida; são direitos que advêm ao sócio por força do pacto de sociedade conscientemente aceite e neste ambiente contratual exercidos.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i/>
          <w:iCs/>
          <w:sz w:val="22"/>
          <w:lang w:eastAsia="pt-PT"/>
        </w:rPr>
        <w:t>O conteúdo do contrato de sociedade é sempre complexo, mais ou menos conforme os tipos e os casos; mesmo sem os aditamentos introduzidos pelas partes, o quadro legal apresenta variedade e complexidade pouco usuais. Na medida em que esse conteúdo se subjective em situações dos sócios, não é pacífico o laço entre todas essas situações; em princípio ele pode consistir apenas na titularidade do mesmo sujeito ou origem da mesma fonte, ou pode reconduzir-se a uma unidade objectiva, embora complexa</w:t>
      </w:r>
      <w:r w:rsidRPr="00A94790">
        <w:rPr>
          <w:rFonts w:ascii="Times New Roman" w:eastAsia="Times New Roman" w:hAnsi="Times New Roman"/>
          <w:sz w:val="22"/>
          <w:lang w:eastAsia="pt-PT"/>
        </w:rPr>
        <w:t xml:space="preserve"> - </w:t>
      </w:r>
      <w:r w:rsidRPr="00A94790">
        <w:rPr>
          <w:rFonts w:ascii="Times New Roman" w:eastAsia="Times New Roman" w:hAnsi="Times New Roman"/>
          <w:bCs/>
          <w:sz w:val="22"/>
          <w:lang w:eastAsia="pt-PT"/>
        </w:rPr>
        <w:t xml:space="preserve">Prof. Raul Ventura; </w:t>
      </w:r>
      <w:r w:rsidRPr="00A94790">
        <w:rPr>
          <w:rFonts w:ascii="Times New Roman" w:eastAsia="Times New Roman" w:hAnsi="Times New Roman"/>
          <w:sz w:val="22"/>
          <w:lang w:eastAsia="pt-PT"/>
        </w:rPr>
        <w:t xml:space="preserve">Reflexões sobre Direitos dos Sócios; C.J ; Ano IX– 1984, Tomo 2.; pág.7.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III.</w:t>
      </w:r>
      <w:r w:rsidRPr="00A94790">
        <w:rPr>
          <w:rFonts w:ascii="Times New Roman" w:eastAsia="Times New Roman" w:hAnsi="Times New Roman"/>
          <w:sz w:val="22"/>
          <w:lang w:eastAsia="pt-PT"/>
        </w:rPr>
        <w:t xml:space="preserve"> Através da também chamada acção </w:t>
      </w:r>
      <w:r w:rsidRPr="00A94790">
        <w:rPr>
          <w:rFonts w:ascii="Times New Roman" w:eastAsia="Times New Roman" w:hAnsi="Times New Roman"/>
          <w:bCs/>
          <w:i/>
          <w:iCs/>
          <w:sz w:val="22"/>
          <w:lang w:eastAsia="pt-PT"/>
        </w:rPr>
        <w:t>ut universi</w:t>
      </w:r>
      <w:r w:rsidRPr="00A94790">
        <w:rPr>
          <w:rFonts w:ascii="Times New Roman" w:eastAsia="Times New Roman" w:hAnsi="Times New Roman"/>
          <w:sz w:val="22"/>
          <w:lang w:eastAsia="pt-PT"/>
        </w:rPr>
        <w:t xml:space="preserve"> (</w:t>
      </w:r>
      <w:r w:rsidRPr="00A94790">
        <w:rPr>
          <w:rFonts w:ascii="Times New Roman" w:eastAsia="Times New Roman" w:hAnsi="Times New Roman"/>
          <w:bCs/>
          <w:i/>
          <w:iCs/>
          <w:sz w:val="22"/>
          <w:lang w:eastAsia="pt-PT"/>
        </w:rPr>
        <w:t>em conjunto, como um todo</w:t>
      </w:r>
      <w:r w:rsidRPr="00A94790">
        <w:rPr>
          <w:rFonts w:ascii="Times New Roman" w:eastAsia="Times New Roman" w:hAnsi="Times New Roman"/>
          <w:bCs/>
          <w:sz w:val="22"/>
          <w:lang w:eastAsia="pt-PT"/>
        </w:rPr>
        <w:t>)</w:t>
      </w:r>
      <w:r w:rsidRPr="00A94790">
        <w:rPr>
          <w:rFonts w:ascii="Times New Roman" w:eastAsia="Times New Roman" w:hAnsi="Times New Roman"/>
          <w:bCs/>
          <w:i/>
          <w:iCs/>
          <w:sz w:val="22"/>
          <w:lang w:eastAsia="pt-PT"/>
        </w:rPr>
        <w:t xml:space="preserve"> </w:t>
      </w:r>
      <w:r w:rsidRPr="00A94790">
        <w:rPr>
          <w:rFonts w:ascii="Times New Roman" w:eastAsia="Times New Roman" w:hAnsi="Times New Roman"/>
          <w:sz w:val="22"/>
          <w:lang w:eastAsia="pt-PT"/>
        </w:rPr>
        <w:t>o</w:t>
      </w:r>
      <w:r w:rsidRPr="00A94790">
        <w:rPr>
          <w:rFonts w:ascii="Times New Roman" w:eastAsia="Times New Roman" w:hAnsi="Times New Roman"/>
          <w:bCs/>
          <w:i/>
          <w:iCs/>
          <w:sz w:val="22"/>
          <w:lang w:eastAsia="pt-PT"/>
        </w:rPr>
        <w:t xml:space="preserve"> </w:t>
      </w:r>
      <w:r w:rsidRPr="00A94790">
        <w:rPr>
          <w:rFonts w:ascii="Times New Roman" w:eastAsia="Times New Roman" w:hAnsi="Times New Roman"/>
          <w:sz w:val="22"/>
          <w:lang w:eastAsia="pt-PT"/>
        </w:rPr>
        <w:t xml:space="preserve">“AA, SA”, valendo-se do disposto no art. 72º, n.º1 e com a oportunidade conferida pelo art.º 75.º, ambos do CSC, pretende responsabilizar os seus ex-administradores pela violação dos deveres de cuidado e lealdade enunciados no art.º 64.º do CSC, omitidos na gerência da sociedade.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A par da própria sociedade podem também os sócios, fazendo uso da igualmente denominada acção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w:t>
      </w:r>
      <w:r w:rsidRPr="00A94790">
        <w:rPr>
          <w:rFonts w:ascii="Times New Roman" w:eastAsia="Times New Roman" w:hAnsi="Times New Roman"/>
          <w:bCs/>
          <w:i/>
          <w:iCs/>
          <w:sz w:val="22"/>
          <w:lang w:eastAsia="pt-PT"/>
        </w:rPr>
        <w:t>isoladamente, a título particular</w:t>
      </w:r>
      <w:r w:rsidRPr="00A94790">
        <w:rPr>
          <w:rFonts w:ascii="Times New Roman" w:eastAsia="Times New Roman" w:hAnsi="Times New Roman"/>
          <w:sz w:val="22"/>
          <w:lang w:eastAsia="pt-PT"/>
        </w:rPr>
        <w:t xml:space="preserve">), propor acção social de responsabilidade contra </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ou administradores, com vista a obterem, a favor da sociedade, a reparação do prejuízo que esta tenha sofrido, quando a mesma o não tenha feito.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Esta última acção, posta na disponibilidade de cada um dos sócios de modo a conferir-lhes a possibilidade de, no interesse da sociedade, reivindicar a atinente indemnização aos </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e administradores que, no desempenho da gestão, prejudicaram a sociedade, incluiu-se no espaço jurídico-substantivo dos </w:t>
      </w:r>
      <w:r w:rsidRPr="00A94790">
        <w:rPr>
          <w:rFonts w:ascii="Times New Roman" w:eastAsia="Times New Roman" w:hAnsi="Times New Roman"/>
          <w:bCs/>
          <w:i/>
          <w:iCs/>
          <w:sz w:val="22"/>
          <w:lang w:eastAsia="pt-PT"/>
        </w:rPr>
        <w:t xml:space="preserve">direitos sociais </w:t>
      </w:r>
      <w:r w:rsidRPr="00A94790">
        <w:rPr>
          <w:rFonts w:ascii="Times New Roman" w:eastAsia="Times New Roman" w:hAnsi="Times New Roman"/>
          <w:sz w:val="22"/>
          <w:lang w:eastAsia="pt-PT"/>
        </w:rPr>
        <w:t xml:space="preserve">de que fala o art.º 89.º n.º1, al.ª c), da LOFTJ.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Este juízo que acabamos de fazer sobre a acção social dos sócios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na qual o direito exercido pelos sócios é um direito da sociedade (não próprio) e através da qual se procura efectivar a responsabilidade dos </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e/ou administradores perante ela, naturalmente se estende também aos casos da acção </w:t>
      </w:r>
      <w:r w:rsidRPr="00A94790">
        <w:rPr>
          <w:rFonts w:ascii="Times New Roman" w:eastAsia="Times New Roman" w:hAnsi="Times New Roman"/>
          <w:bCs/>
          <w:i/>
          <w:iCs/>
          <w:sz w:val="22"/>
          <w:lang w:eastAsia="pt-PT"/>
        </w:rPr>
        <w:t xml:space="preserve">ut universi.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Na verdade, quando a sociedade se apresenta, ela própria, a demandar os seus ex-</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ou ex-administradores, responsabilizando-os pelo desprezo a que votaram os seus deveres de cuidado e lealdade, não é só em nome próprio que age mas, igualmente, está ela a acautelar, mesmo que reflexamente, o particularizado interesse dos sócios, o fim último de todo o exercício da sua actividade comercial.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A equiparação entre estas duas situações deduz-se sem violentar as regras da lógica e da razão funcionalmente contextualizadas - </w:t>
      </w:r>
      <w:r w:rsidRPr="00A94790">
        <w:rPr>
          <w:rFonts w:ascii="Times New Roman" w:eastAsia="Times New Roman" w:hAnsi="Times New Roman"/>
          <w:bCs/>
          <w:i/>
          <w:iCs/>
          <w:sz w:val="22"/>
          <w:lang w:eastAsia="pt-PT"/>
        </w:rPr>
        <w:t xml:space="preserve">o facto de, beneficiando a sociedade com o desfecho da acção em termos patrimoniais, reflexamente beneficiar os seus sócios, não retira que estejam em causa direitos sociais nem desqualifica a acção como ut universi </w:t>
      </w:r>
      <w:r w:rsidRPr="00A94790">
        <w:rPr>
          <w:rFonts w:ascii="Times New Roman" w:eastAsia="Times New Roman" w:hAnsi="Times New Roman"/>
          <w:bCs/>
          <w:sz w:val="22"/>
          <w:lang w:eastAsia="pt-PT"/>
        </w:rPr>
        <w:t>(Ac. do STJ de 17 de Setembro de 2009</w:t>
      </w:r>
      <w:r w:rsidRPr="00A94790">
        <w:rPr>
          <w:rFonts w:ascii="Times New Roman" w:eastAsia="Times New Roman" w:hAnsi="Times New Roman"/>
          <w:sz w:val="22"/>
          <w:lang w:eastAsia="pt-PT"/>
        </w:rPr>
        <w:t xml:space="preserve">; www.dgsi.pt).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A acção delineada nestes contornos há-de ser preparada e julgada nos Tribunais de Comércio.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Concluindo:</w:t>
      </w:r>
      <w:r w:rsidRPr="00A94790">
        <w:rPr>
          <w:rFonts w:ascii="Times New Roman" w:eastAsia="Times New Roman" w:hAnsi="Times New Roman"/>
          <w:sz w:val="22"/>
          <w:lang w:eastAsia="pt-PT"/>
        </w:rPr>
        <w:t xml:space="preserv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lastRenderedPageBreak/>
        <w:t>1.</w:t>
      </w:r>
      <w:r w:rsidRPr="00A94790">
        <w:rPr>
          <w:rFonts w:ascii="Times New Roman" w:eastAsia="Times New Roman" w:hAnsi="Times New Roman"/>
          <w:sz w:val="22"/>
          <w:lang w:eastAsia="pt-PT"/>
        </w:rPr>
        <w:t xml:space="preserve"> O Tribunal de Comércio é um Tribunal de competência especializada afirmado no art.º 89.º da Lei de Organização e Funcionamento dos Tribunais Judiciais (Lei n.º 3/99, de 13.01), competindo a este tipo de tribunais preparar e julgar as </w:t>
      </w:r>
      <w:r w:rsidRPr="00A94790">
        <w:rPr>
          <w:rFonts w:ascii="Times New Roman" w:eastAsia="Times New Roman" w:hAnsi="Times New Roman"/>
          <w:bCs/>
          <w:i/>
          <w:iCs/>
          <w:sz w:val="22"/>
          <w:lang w:eastAsia="pt-PT"/>
        </w:rPr>
        <w:t>acções relativas ao exercício de direitos sociais</w:t>
      </w:r>
      <w:r w:rsidRPr="00A94790">
        <w:rPr>
          <w:rFonts w:ascii="Times New Roman" w:eastAsia="Times New Roman" w:hAnsi="Times New Roman"/>
          <w:sz w:val="22"/>
          <w:lang w:eastAsia="pt-PT"/>
        </w:rPr>
        <w:t xml:space="preserve">, (cfr. art.º 89.º n.º1, al.ª c), da LOFTJ.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2.</w:t>
      </w:r>
      <w:r w:rsidRPr="00A94790">
        <w:rPr>
          <w:rFonts w:ascii="Times New Roman" w:eastAsia="Times New Roman" w:hAnsi="Times New Roman"/>
          <w:sz w:val="22"/>
          <w:lang w:eastAsia="pt-PT"/>
        </w:rPr>
        <w:t xml:space="preserve"> A par da própria sociedade podem também os sócios, fazendo uso da igualmente denominada acção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w:t>
      </w:r>
      <w:r w:rsidRPr="00A94790">
        <w:rPr>
          <w:rFonts w:ascii="Times New Roman" w:eastAsia="Times New Roman" w:hAnsi="Times New Roman"/>
          <w:bCs/>
          <w:i/>
          <w:iCs/>
          <w:sz w:val="22"/>
          <w:lang w:eastAsia="pt-PT"/>
        </w:rPr>
        <w:t>isoladamente, a título particular</w:t>
      </w:r>
      <w:r w:rsidRPr="00A94790">
        <w:rPr>
          <w:rFonts w:ascii="Times New Roman" w:eastAsia="Times New Roman" w:hAnsi="Times New Roman"/>
          <w:sz w:val="22"/>
          <w:lang w:eastAsia="pt-PT"/>
        </w:rPr>
        <w:t xml:space="preserve">), propor acção social de responsabilidade contra </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ou administradores, com vista a obterem, a favor da sociedade, a reparação do prejuízo que esta tenha sofrido, quando a mesma o não tenha feito. Esta última acção incluiu-se no espaço jurídico-substantivo dos direitos sociais de que fala o art.º 89.º n.º1, al.ª c), da LOFTJ.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3.</w:t>
      </w:r>
      <w:r w:rsidRPr="00A94790">
        <w:rPr>
          <w:rFonts w:ascii="Times New Roman" w:eastAsia="Times New Roman" w:hAnsi="Times New Roman"/>
          <w:sz w:val="22"/>
          <w:lang w:eastAsia="pt-PT"/>
        </w:rPr>
        <w:t xml:space="preserve"> Este juízo que acabamos de fazer sobre a acção social dos sócios (</w:t>
      </w:r>
      <w:r w:rsidRPr="00A94790">
        <w:rPr>
          <w:rFonts w:ascii="Times New Roman" w:eastAsia="Times New Roman" w:hAnsi="Times New Roman"/>
          <w:bCs/>
          <w:i/>
          <w:iCs/>
          <w:sz w:val="22"/>
          <w:lang w:eastAsia="pt-PT"/>
        </w:rPr>
        <w:t>ut singuli)</w:t>
      </w:r>
      <w:r w:rsidRPr="00A94790">
        <w:rPr>
          <w:rFonts w:ascii="Times New Roman" w:eastAsia="Times New Roman" w:hAnsi="Times New Roman"/>
          <w:sz w:val="22"/>
          <w:lang w:eastAsia="pt-PT"/>
        </w:rPr>
        <w:t xml:space="preserve">, na qual o direito exercido pelos sócios é um direito da sociedade (não próprio) e através da qual se procura efectivar a responsabilidade dos </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e/ou administradores perante ela, naturalmente se estende também aos casos da acção </w:t>
      </w:r>
      <w:r w:rsidRPr="00A94790">
        <w:rPr>
          <w:rFonts w:ascii="Times New Roman" w:eastAsia="Times New Roman" w:hAnsi="Times New Roman"/>
          <w:bCs/>
          <w:i/>
          <w:iCs/>
          <w:sz w:val="22"/>
          <w:lang w:eastAsia="pt-PT"/>
        </w:rPr>
        <w:t xml:space="preserve">ut universi.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bCs/>
          <w:sz w:val="22"/>
          <w:lang w:eastAsia="pt-PT"/>
        </w:rPr>
        <w:t>4.</w:t>
      </w:r>
      <w:r w:rsidRPr="00A94790">
        <w:rPr>
          <w:rFonts w:ascii="Times New Roman" w:eastAsia="Times New Roman" w:hAnsi="Times New Roman"/>
          <w:sz w:val="22"/>
          <w:lang w:eastAsia="pt-PT"/>
        </w:rPr>
        <w:t xml:space="preserve"> Na verdade, quando a sociedade se apresenta, ela própria, a demandar os seus ex-</w:t>
      </w:r>
      <w:r w:rsidRPr="00A94790">
        <w:rPr>
          <w:rFonts w:ascii="Times New Roman" w:eastAsia="Times New Roman" w:hAnsi="Times New Roman"/>
          <w:bCs/>
          <w:sz w:val="22"/>
          <w:lang w:eastAsia="pt-PT"/>
        </w:rPr>
        <w:t>gerentes</w:t>
      </w:r>
      <w:r w:rsidRPr="00A94790">
        <w:rPr>
          <w:rFonts w:ascii="Times New Roman" w:eastAsia="Times New Roman" w:hAnsi="Times New Roman"/>
          <w:sz w:val="22"/>
          <w:lang w:eastAsia="pt-PT"/>
        </w:rPr>
        <w:t xml:space="preserve"> ou ex-administradores, responsabilizando-os pelo desprezo a que votaram os seus deveres de cuidado e lealdade, não é só em nome próprio que age mas, igualmente, está ela a acautelar, mesmo que reflexamente, o particularizado interesse dos sócios, o fim último de todo o exercício da sua actividade comercial.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t>Pelo exposto, nega-se a revista e confirma-se o acórdão recorrido.</w:t>
      </w:r>
      <w:r w:rsidRPr="00A94790">
        <w:rPr>
          <w:rFonts w:ascii="Times New Roman" w:eastAsia="Times New Roman" w:hAnsi="Times New Roman"/>
          <w:sz w:val="22"/>
          <w:lang w:eastAsia="pt-PT"/>
        </w:rPr>
        <w:br/>
      </w:r>
      <w:r w:rsidRPr="00A94790">
        <w:rPr>
          <w:rFonts w:ascii="Times New Roman" w:eastAsia="Times New Roman" w:hAnsi="Times New Roman"/>
          <w:sz w:val="22"/>
          <w:lang w:eastAsia="pt-PT"/>
        </w:rPr>
        <w:br/>
        <w:t xml:space="preserve">Custas pela recorrente.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br/>
      </w:r>
      <w:r w:rsidRPr="00A94790">
        <w:rPr>
          <w:rFonts w:ascii="Times New Roman" w:eastAsia="Times New Roman" w:hAnsi="Times New Roman"/>
          <w:bCs/>
          <w:sz w:val="22"/>
          <w:lang w:eastAsia="pt-PT"/>
        </w:rPr>
        <w:t xml:space="preserve">Supremo Tribunal de Justiça, </w:t>
      </w:r>
      <w:r w:rsidRPr="00A94790">
        <w:rPr>
          <w:rFonts w:ascii="Times New Roman" w:eastAsia="Times New Roman" w:hAnsi="Times New Roman"/>
          <w:sz w:val="22"/>
          <w:lang w:eastAsia="pt-PT"/>
        </w:rPr>
        <w:t xml:space="preserve">15 de Setembro de 2011. </w:t>
      </w:r>
    </w:p>
    <w:p w:rsidR="000E78B5" w:rsidRPr="00A94790" w:rsidRDefault="000E78B5" w:rsidP="000E78B5">
      <w:pPr>
        <w:tabs>
          <w:tab w:val="clear" w:pos="1418"/>
        </w:tabs>
        <w:spacing w:line="240" w:lineRule="auto"/>
        <w:ind w:firstLine="0"/>
        <w:jc w:val="center"/>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Silva Gonçalves (Relator) </w:t>
      </w:r>
    </w:p>
    <w:p w:rsidR="000E78B5" w:rsidRPr="00A94790" w:rsidRDefault="000E78B5" w:rsidP="000E78B5">
      <w:pPr>
        <w:tabs>
          <w:tab w:val="clear" w:pos="1418"/>
        </w:tabs>
        <w:spacing w:before="100" w:beforeAutospacing="1" w:after="100" w:afterAutospacing="1" w:line="240" w:lineRule="auto"/>
        <w:ind w:firstLine="0"/>
        <w:jc w:val="center"/>
        <w:rPr>
          <w:rFonts w:ascii="Times New Roman" w:eastAsia="Times New Roman" w:hAnsi="Times New Roman"/>
          <w:sz w:val="22"/>
          <w:lang w:eastAsia="pt-PT"/>
        </w:rPr>
      </w:pPr>
      <w:r w:rsidRPr="00A94790">
        <w:rPr>
          <w:rFonts w:ascii="Times New Roman" w:eastAsia="Times New Roman" w:hAnsi="Times New Roman"/>
          <w:sz w:val="22"/>
          <w:lang w:eastAsia="pt-PT"/>
        </w:rPr>
        <w:t xml:space="preserve">Pires da Rosa </w:t>
      </w:r>
    </w:p>
    <w:p w:rsidR="000E78B5" w:rsidRPr="00A94790" w:rsidRDefault="000E78B5" w:rsidP="000E78B5">
      <w:pPr>
        <w:tabs>
          <w:tab w:val="clear" w:pos="1418"/>
        </w:tabs>
        <w:spacing w:before="100" w:beforeAutospacing="1" w:after="100" w:afterAutospacing="1" w:line="240" w:lineRule="auto"/>
        <w:ind w:firstLine="0"/>
        <w:jc w:val="center"/>
        <w:rPr>
          <w:rFonts w:ascii="Times New Roman" w:eastAsia="Times New Roman" w:hAnsi="Times New Roman"/>
          <w:sz w:val="22"/>
          <w:lang w:eastAsia="pt-PT"/>
        </w:rPr>
      </w:pPr>
      <w:r w:rsidRPr="00A94790">
        <w:rPr>
          <w:rFonts w:ascii="Times New Roman" w:eastAsia="Times New Roman" w:hAnsi="Times New Roman"/>
          <w:sz w:val="22"/>
          <w:lang w:eastAsia="pt-PT"/>
        </w:rPr>
        <w:t>Prazeres Beleza</w:t>
      </w:r>
    </w:p>
    <w:p w:rsidR="000E78B5" w:rsidRPr="00A94790" w:rsidRDefault="000E78B5" w:rsidP="000E78B5">
      <w:pPr>
        <w:tabs>
          <w:tab w:val="clear" w:pos="1418"/>
        </w:tabs>
        <w:spacing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br/>
        <w:t xml:space="preserve">______________________ </w:t>
      </w:r>
    </w:p>
    <w:p w:rsidR="000E78B5" w:rsidRPr="00A94790" w:rsidRDefault="000E78B5"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r w:rsidRPr="00A94790">
        <w:rPr>
          <w:rFonts w:ascii="Times New Roman" w:eastAsia="Times New Roman" w:hAnsi="Times New Roman"/>
          <w:sz w:val="22"/>
          <w:lang w:eastAsia="pt-PT"/>
        </w:rPr>
        <w:br/>
      </w:r>
      <w:hyperlink r:id="rId8" w:anchor="_ftnref1" w:history="1">
        <w:r w:rsidRPr="00A94790">
          <w:rPr>
            <w:rFonts w:ascii="Times New Roman" w:eastAsia="Times New Roman" w:hAnsi="Times New Roman"/>
            <w:bCs/>
            <w:sz w:val="22"/>
            <w:u w:val="single"/>
            <w:vertAlign w:val="superscript"/>
            <w:lang w:eastAsia="pt-PT"/>
          </w:rPr>
          <w:t>[1]</w:t>
        </w:r>
      </w:hyperlink>
      <w:r w:rsidRPr="00A94790">
        <w:rPr>
          <w:rFonts w:ascii="Times New Roman" w:eastAsia="Times New Roman" w:hAnsi="Times New Roman"/>
          <w:bCs/>
          <w:sz w:val="22"/>
          <w:lang w:eastAsia="pt-PT"/>
        </w:rPr>
        <w:t xml:space="preserve"> </w:t>
      </w:r>
      <w:r w:rsidRPr="00A94790">
        <w:rPr>
          <w:rFonts w:ascii="Times New Roman" w:eastAsia="Times New Roman" w:hAnsi="Times New Roman"/>
          <w:sz w:val="22"/>
          <w:lang w:eastAsia="pt-PT"/>
        </w:rPr>
        <w:t>Artigo 89.º (Competência).</w:t>
      </w:r>
      <w:r w:rsidRPr="00A94790">
        <w:rPr>
          <w:rFonts w:ascii="Times New Roman" w:eastAsia="Times New Roman" w:hAnsi="Times New Roman"/>
          <w:sz w:val="22"/>
          <w:lang w:eastAsia="pt-PT"/>
        </w:rPr>
        <w:br/>
        <w:t>1 -</w:t>
      </w:r>
      <w:r w:rsidRPr="00A94790">
        <w:rPr>
          <w:rFonts w:ascii="Times New Roman" w:eastAsia="Times New Roman" w:hAnsi="Times New Roman"/>
          <w:i/>
          <w:iCs/>
          <w:sz w:val="22"/>
          <w:lang w:eastAsia="pt-PT"/>
        </w:rPr>
        <w:t xml:space="preserve"> Compete aos tribunais de comércio preparar e julgar:</w:t>
      </w:r>
      <w:r w:rsidRPr="00A94790">
        <w:rPr>
          <w:rFonts w:ascii="Times New Roman" w:eastAsia="Times New Roman" w:hAnsi="Times New Roman"/>
          <w:sz w:val="22"/>
          <w:lang w:eastAsia="pt-PT"/>
        </w:rPr>
        <w:br/>
      </w:r>
      <w:r w:rsidRPr="00A94790">
        <w:rPr>
          <w:rFonts w:ascii="Times New Roman" w:eastAsia="Times New Roman" w:hAnsi="Times New Roman"/>
          <w:i/>
          <w:iCs/>
          <w:sz w:val="22"/>
          <w:lang w:eastAsia="pt-PT"/>
        </w:rPr>
        <w:t>c) As acções relativas ao exercício de direitos sociais;</w:t>
      </w:r>
      <w:r w:rsidRPr="00A94790">
        <w:rPr>
          <w:rFonts w:ascii="Times New Roman" w:eastAsia="Times New Roman" w:hAnsi="Times New Roman"/>
          <w:sz w:val="22"/>
          <w:lang w:eastAsia="pt-PT"/>
        </w:rPr>
        <w:br/>
        <w:t>3</w:t>
      </w:r>
      <w:r w:rsidRPr="00A94790">
        <w:rPr>
          <w:rFonts w:ascii="Times New Roman" w:eastAsia="Times New Roman" w:hAnsi="Times New Roman"/>
          <w:i/>
          <w:iCs/>
          <w:sz w:val="22"/>
          <w:lang w:eastAsia="pt-PT"/>
        </w:rPr>
        <w:t xml:space="preserve"> - A competência a que se refere o n.º 1 abrange os respectivos incidentes e apensos.</w:t>
      </w:r>
      <w:r w:rsidRPr="00A94790">
        <w:rPr>
          <w:rFonts w:ascii="Times New Roman" w:eastAsia="Times New Roman" w:hAnsi="Times New Roman"/>
          <w:sz w:val="22"/>
          <w:lang w:eastAsia="pt-PT"/>
        </w:rPr>
        <w:t xml:space="preserve"> </w:t>
      </w:r>
    </w:p>
    <w:p w:rsidR="000E78B5" w:rsidRPr="00A94790" w:rsidRDefault="005A525A" w:rsidP="000E78B5">
      <w:pPr>
        <w:tabs>
          <w:tab w:val="clear" w:pos="1418"/>
        </w:tabs>
        <w:spacing w:before="100" w:beforeAutospacing="1" w:after="100" w:afterAutospacing="1" w:line="240" w:lineRule="auto"/>
        <w:ind w:firstLine="0"/>
        <w:jc w:val="left"/>
        <w:rPr>
          <w:rFonts w:ascii="Times New Roman" w:eastAsia="Times New Roman" w:hAnsi="Times New Roman"/>
          <w:sz w:val="22"/>
          <w:lang w:eastAsia="pt-PT"/>
        </w:rPr>
      </w:pPr>
      <w:hyperlink r:id="rId9" w:anchor="_ftnref2" w:history="1">
        <w:r w:rsidR="000E78B5" w:rsidRPr="00A94790">
          <w:rPr>
            <w:rFonts w:ascii="Times New Roman" w:eastAsia="Times New Roman" w:hAnsi="Times New Roman"/>
            <w:sz w:val="22"/>
            <w:u w:val="single"/>
            <w:vertAlign w:val="superscript"/>
            <w:lang w:eastAsia="pt-PT"/>
          </w:rPr>
          <w:t>[2]</w:t>
        </w:r>
      </w:hyperlink>
      <w:r w:rsidR="000E78B5" w:rsidRPr="00A94790">
        <w:rPr>
          <w:rFonts w:ascii="Times New Roman" w:eastAsia="Times New Roman" w:hAnsi="Times New Roman"/>
          <w:sz w:val="22"/>
          <w:lang w:eastAsia="pt-PT"/>
        </w:rPr>
        <w:t xml:space="preserve"> </w:t>
      </w:r>
      <w:r w:rsidR="000E78B5" w:rsidRPr="00A94790">
        <w:rPr>
          <w:rFonts w:ascii="Times New Roman" w:eastAsia="Times New Roman" w:hAnsi="Times New Roman"/>
          <w:sz w:val="22"/>
          <w:u w:val="single"/>
          <w:lang w:eastAsia="pt-PT"/>
        </w:rPr>
        <w:t>Ferrer Correia</w:t>
      </w:r>
      <w:r w:rsidR="000E78B5" w:rsidRPr="00A94790">
        <w:rPr>
          <w:rFonts w:ascii="Times New Roman" w:eastAsia="Times New Roman" w:hAnsi="Times New Roman"/>
          <w:sz w:val="22"/>
          <w:lang w:eastAsia="pt-PT"/>
        </w:rPr>
        <w:t xml:space="preserve">, </w:t>
      </w:r>
      <w:r w:rsidR="000E78B5" w:rsidRPr="00A94790">
        <w:rPr>
          <w:rFonts w:ascii="Times New Roman" w:eastAsia="Times New Roman" w:hAnsi="Times New Roman"/>
          <w:i/>
          <w:iCs/>
          <w:sz w:val="22"/>
          <w:lang w:eastAsia="pt-PT"/>
        </w:rPr>
        <w:t>Sociedades Comerciais</w:t>
      </w:r>
      <w:r w:rsidR="000E78B5" w:rsidRPr="00A94790">
        <w:rPr>
          <w:rFonts w:ascii="Times New Roman" w:eastAsia="Times New Roman" w:hAnsi="Times New Roman"/>
          <w:sz w:val="22"/>
          <w:lang w:eastAsia="pt-PT"/>
        </w:rPr>
        <w:t xml:space="preserve"> (policopiado), p. 348 e segs.; </w:t>
      </w:r>
      <w:r w:rsidR="000E78B5" w:rsidRPr="00A94790">
        <w:rPr>
          <w:rFonts w:ascii="Times New Roman" w:eastAsia="Times New Roman" w:hAnsi="Times New Roman"/>
          <w:sz w:val="22"/>
          <w:u w:val="single"/>
          <w:lang w:eastAsia="pt-PT"/>
        </w:rPr>
        <w:t>Brito Correia</w:t>
      </w:r>
      <w:r w:rsidR="000E78B5" w:rsidRPr="00A94790">
        <w:rPr>
          <w:rFonts w:ascii="Times New Roman" w:eastAsia="Times New Roman" w:hAnsi="Times New Roman"/>
          <w:sz w:val="22"/>
          <w:lang w:eastAsia="pt-PT"/>
        </w:rPr>
        <w:t xml:space="preserve">, </w:t>
      </w:r>
      <w:r w:rsidR="000E78B5" w:rsidRPr="00A94790">
        <w:rPr>
          <w:rFonts w:ascii="Times New Roman" w:eastAsia="Times New Roman" w:hAnsi="Times New Roman"/>
          <w:i/>
          <w:iCs/>
          <w:sz w:val="22"/>
          <w:lang w:eastAsia="pt-PT"/>
        </w:rPr>
        <w:t>Direito Comercial, Sociedades Comerciais, vol. II</w:t>
      </w:r>
      <w:r w:rsidR="000E78B5" w:rsidRPr="00A94790">
        <w:rPr>
          <w:rFonts w:ascii="Times New Roman" w:eastAsia="Times New Roman" w:hAnsi="Times New Roman"/>
          <w:sz w:val="22"/>
          <w:lang w:eastAsia="pt-PT"/>
        </w:rPr>
        <w:t xml:space="preserve">, 4.ª, p. 305 e segs.; </w:t>
      </w:r>
      <w:r w:rsidR="000E78B5" w:rsidRPr="00A94790">
        <w:rPr>
          <w:rFonts w:ascii="Times New Roman" w:eastAsia="Times New Roman" w:hAnsi="Times New Roman"/>
          <w:sz w:val="22"/>
          <w:u w:val="single"/>
          <w:lang w:eastAsia="pt-PT"/>
        </w:rPr>
        <w:t>Pupo Correia</w:t>
      </w:r>
      <w:r w:rsidR="000E78B5" w:rsidRPr="00A94790">
        <w:rPr>
          <w:rFonts w:ascii="Times New Roman" w:eastAsia="Times New Roman" w:hAnsi="Times New Roman"/>
          <w:sz w:val="22"/>
          <w:lang w:eastAsia="pt-PT"/>
        </w:rPr>
        <w:t xml:space="preserve">, </w:t>
      </w:r>
      <w:r w:rsidR="000E78B5" w:rsidRPr="00A94790">
        <w:rPr>
          <w:rFonts w:ascii="Times New Roman" w:eastAsia="Times New Roman" w:hAnsi="Times New Roman"/>
          <w:i/>
          <w:iCs/>
          <w:sz w:val="22"/>
          <w:lang w:eastAsia="pt-PT"/>
        </w:rPr>
        <w:t>Direito Comercial,</w:t>
      </w:r>
      <w:r w:rsidR="000E78B5" w:rsidRPr="00A94790">
        <w:rPr>
          <w:rFonts w:ascii="Times New Roman" w:eastAsia="Times New Roman" w:hAnsi="Times New Roman"/>
          <w:sz w:val="22"/>
          <w:lang w:eastAsia="pt-PT"/>
        </w:rPr>
        <w:t xml:space="preserve"> 7.ª ed., p. 517; </w:t>
      </w:r>
      <w:r w:rsidR="000E78B5" w:rsidRPr="00A94790">
        <w:rPr>
          <w:rFonts w:ascii="Times New Roman" w:eastAsia="Times New Roman" w:hAnsi="Times New Roman"/>
          <w:sz w:val="22"/>
          <w:u w:val="single"/>
          <w:lang w:eastAsia="pt-PT"/>
        </w:rPr>
        <w:t>Coutinho de Abreu</w:t>
      </w:r>
      <w:r w:rsidR="000E78B5" w:rsidRPr="00A94790">
        <w:rPr>
          <w:rFonts w:ascii="Times New Roman" w:eastAsia="Times New Roman" w:hAnsi="Times New Roman"/>
          <w:sz w:val="22"/>
          <w:lang w:eastAsia="pt-PT"/>
        </w:rPr>
        <w:t xml:space="preserve">, </w:t>
      </w:r>
      <w:r w:rsidR="000E78B5" w:rsidRPr="00A94790">
        <w:rPr>
          <w:rFonts w:ascii="Times New Roman" w:eastAsia="Times New Roman" w:hAnsi="Times New Roman"/>
          <w:i/>
          <w:iCs/>
          <w:sz w:val="22"/>
          <w:lang w:eastAsia="pt-PT"/>
        </w:rPr>
        <w:t>Curso de Direito Comercial</w:t>
      </w:r>
      <w:r w:rsidR="000E78B5" w:rsidRPr="00A94790">
        <w:rPr>
          <w:rFonts w:ascii="Times New Roman" w:eastAsia="Times New Roman" w:hAnsi="Times New Roman"/>
          <w:sz w:val="22"/>
          <w:lang w:eastAsia="pt-PT"/>
        </w:rPr>
        <w:t xml:space="preserve">, vol. II, Das Sociedades, p. 205 e segs.; </w:t>
      </w:r>
      <w:r w:rsidR="000E78B5" w:rsidRPr="00A94790">
        <w:rPr>
          <w:rFonts w:ascii="Times New Roman" w:eastAsia="Times New Roman" w:hAnsi="Times New Roman"/>
          <w:sz w:val="22"/>
          <w:u w:val="single"/>
          <w:lang w:eastAsia="pt-PT"/>
        </w:rPr>
        <w:t>Paulo Olavo e Cunha</w:t>
      </w:r>
      <w:r w:rsidR="000E78B5" w:rsidRPr="00A94790">
        <w:rPr>
          <w:rFonts w:ascii="Times New Roman" w:eastAsia="Times New Roman" w:hAnsi="Times New Roman"/>
          <w:sz w:val="22"/>
          <w:lang w:eastAsia="pt-PT"/>
        </w:rPr>
        <w:t xml:space="preserve"> – in “</w:t>
      </w:r>
      <w:r w:rsidR="000E78B5" w:rsidRPr="00A94790">
        <w:rPr>
          <w:rFonts w:ascii="Times New Roman" w:eastAsia="Times New Roman" w:hAnsi="Times New Roman"/>
          <w:i/>
          <w:iCs/>
          <w:sz w:val="22"/>
          <w:lang w:eastAsia="pt-PT"/>
        </w:rPr>
        <w:t>Breve Nota sobre os Direitos dos Sócios (das sociedades responsabilidade limitada) no âmbito do Código das Sociedades Comerciais”</w:t>
      </w:r>
      <w:r w:rsidR="000E78B5" w:rsidRPr="00A94790">
        <w:rPr>
          <w:rFonts w:ascii="Times New Roman" w:eastAsia="Times New Roman" w:hAnsi="Times New Roman"/>
          <w:sz w:val="22"/>
          <w:lang w:eastAsia="pt-PT"/>
        </w:rPr>
        <w:t xml:space="preserve">, in Novas Perspectivas do Direito Comercial, citados no Ac. deste STJ de 11 de Janeiro de 2011; www.dgsi.pt. </w:t>
      </w:r>
    </w:p>
    <w:p w:rsidR="000E78B5" w:rsidRPr="00A94790" w:rsidRDefault="000E78B5" w:rsidP="000E78B5">
      <w:pPr>
        <w:tabs>
          <w:tab w:val="clear" w:pos="1418"/>
          <w:tab w:val="left" w:pos="5534"/>
        </w:tabs>
        <w:spacing w:before="100" w:beforeAutospacing="1" w:after="100" w:afterAutospacing="1" w:line="240" w:lineRule="auto"/>
        <w:ind w:firstLine="0"/>
        <w:jc w:val="left"/>
        <w:rPr>
          <w:rFonts w:ascii="Times New Roman" w:eastAsia="Times New Roman" w:hAnsi="Times New Roman"/>
          <w:sz w:val="22"/>
          <w:lang w:eastAsia="pt-PT"/>
        </w:rPr>
      </w:pPr>
    </w:p>
    <w:p w:rsidR="00D21844" w:rsidRPr="00A94790" w:rsidRDefault="00D21844">
      <w:pPr>
        <w:rPr>
          <w:sz w:val="22"/>
        </w:rPr>
      </w:pPr>
    </w:p>
    <w:sectPr w:rsidR="00D21844" w:rsidRPr="00A94790" w:rsidSect="005952D6">
      <w:pgSz w:w="11906" w:h="16838" w:code="9"/>
      <w:pgMar w:top="1417" w:right="1701" w:bottom="1417" w:left="1701"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16B3"/>
    <w:multiLevelType w:val="multilevel"/>
    <w:tmpl w:val="1DACC1B0"/>
    <w:lvl w:ilvl="0">
      <w:start w:val="1"/>
      <w:numFmt w:val="decimal"/>
      <w:pStyle w:val="sintese"/>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F26CFC"/>
    <w:multiLevelType w:val="multilevel"/>
    <w:tmpl w:val="01AA296A"/>
    <w:lvl w:ilvl="0">
      <w:start w:val="1"/>
      <w:numFmt w:val="decimal"/>
      <w:pStyle w:val="textocapitulo"/>
      <w:lvlText w:val="%1."/>
      <w:lvlJc w:val="left"/>
      <w:pPr>
        <w:ind w:left="1070" w:hanging="360"/>
      </w:pPr>
      <w:rPr>
        <w:rFonts w:hint="default"/>
        <w:b/>
      </w:rPr>
    </w:lvl>
    <w:lvl w:ilvl="1">
      <w:start w:val="1"/>
      <w:numFmt w:val="decimal"/>
      <w:pStyle w:val="item1"/>
      <w:isLgl/>
      <w:lvlText w:val="%1.%2."/>
      <w:lvlJc w:val="left"/>
      <w:pPr>
        <w:ind w:left="1854" w:hanging="720"/>
      </w:pPr>
      <w:rPr>
        <w:rFonts w:hint="default"/>
        <w:b/>
        <w:i w:val="0"/>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E78B5"/>
    <w:rsid w:val="00003EBC"/>
    <w:rsid w:val="000A5BC9"/>
    <w:rsid w:val="000E78B5"/>
    <w:rsid w:val="00104104"/>
    <w:rsid w:val="001140A6"/>
    <w:rsid w:val="00135D26"/>
    <w:rsid w:val="001A3F43"/>
    <w:rsid w:val="001E6163"/>
    <w:rsid w:val="002723D1"/>
    <w:rsid w:val="00287696"/>
    <w:rsid w:val="002F65EA"/>
    <w:rsid w:val="00384893"/>
    <w:rsid w:val="00453F8A"/>
    <w:rsid w:val="004578CA"/>
    <w:rsid w:val="004C6A8C"/>
    <w:rsid w:val="0057012A"/>
    <w:rsid w:val="005952D6"/>
    <w:rsid w:val="005A525A"/>
    <w:rsid w:val="00622FF1"/>
    <w:rsid w:val="00626C94"/>
    <w:rsid w:val="007443F6"/>
    <w:rsid w:val="007E2B86"/>
    <w:rsid w:val="0081018E"/>
    <w:rsid w:val="00885602"/>
    <w:rsid w:val="00A23FB8"/>
    <w:rsid w:val="00A34F62"/>
    <w:rsid w:val="00A5029E"/>
    <w:rsid w:val="00A55A72"/>
    <w:rsid w:val="00A94790"/>
    <w:rsid w:val="00AC0F98"/>
    <w:rsid w:val="00B12D84"/>
    <w:rsid w:val="00BC7044"/>
    <w:rsid w:val="00C5763D"/>
    <w:rsid w:val="00C977F0"/>
    <w:rsid w:val="00D21844"/>
    <w:rsid w:val="00FA7C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9C7F1-137E-40AD-8598-B4F3DB90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pt-PT"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B86"/>
    <w:pPr>
      <w:tabs>
        <w:tab w:val="left" w:pos="1418"/>
      </w:tabs>
      <w:spacing w:line="360" w:lineRule="auto"/>
    </w:pPr>
    <w:rPr>
      <w:rFonts w:ascii="Arial Narrow" w:hAnsi="Arial Narrow" w:cs="Times New Roman"/>
      <w:sz w:val="24"/>
    </w:rPr>
  </w:style>
  <w:style w:type="paragraph" w:styleId="Cabealho1">
    <w:name w:val="heading 1"/>
    <w:basedOn w:val="Normal"/>
    <w:next w:val="Normal"/>
    <w:link w:val="Cabealho1Carter"/>
    <w:uiPriority w:val="9"/>
    <w:rsid w:val="00FA7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4">
    <w:name w:val="heading 4"/>
    <w:basedOn w:val="Normal"/>
    <w:next w:val="Normal"/>
    <w:link w:val="Cabealho4Carter"/>
    <w:uiPriority w:val="9"/>
    <w:semiHidden/>
    <w:unhideWhenUsed/>
    <w:qFormat/>
    <w:rsid w:val="00FA7C50"/>
    <w:pPr>
      <w:spacing w:before="280"/>
      <w:outlineLvl w:val="3"/>
    </w:pPr>
    <w:rPr>
      <w:rFonts w:ascii="Cambria" w:eastAsia="Times New Roman" w:hAnsi="Cambria"/>
      <w:b/>
      <w:bCs/>
      <w:i/>
      <w:iCs/>
      <w:szCs w:val="24"/>
      <w:lang w:bidi="en-US"/>
    </w:rPr>
  </w:style>
  <w:style w:type="paragraph" w:styleId="Cabealho5">
    <w:name w:val="heading 5"/>
    <w:basedOn w:val="Normal"/>
    <w:next w:val="Normal"/>
    <w:link w:val="Cabealho5Carter"/>
    <w:uiPriority w:val="9"/>
    <w:semiHidden/>
    <w:unhideWhenUsed/>
    <w:qFormat/>
    <w:rsid w:val="00FA7C50"/>
    <w:pPr>
      <w:spacing w:before="280"/>
      <w:outlineLvl w:val="4"/>
    </w:pPr>
    <w:rPr>
      <w:rFonts w:ascii="Cambria" w:eastAsia="Times New Roman" w:hAnsi="Cambria"/>
      <w:b/>
      <w:bCs/>
      <w:i/>
      <w:iCs/>
      <w:lang w:bidi="en-US"/>
    </w:rPr>
  </w:style>
  <w:style w:type="paragraph" w:styleId="Cabealho6">
    <w:name w:val="heading 6"/>
    <w:basedOn w:val="Normal"/>
    <w:next w:val="Normal"/>
    <w:link w:val="Cabealho6Carter"/>
    <w:uiPriority w:val="9"/>
    <w:semiHidden/>
    <w:unhideWhenUsed/>
    <w:qFormat/>
    <w:rsid w:val="00FA7C50"/>
    <w:pPr>
      <w:spacing w:before="280" w:after="80"/>
      <w:outlineLvl w:val="5"/>
    </w:pPr>
    <w:rPr>
      <w:rFonts w:ascii="Cambria" w:eastAsia="Times New Roman" w:hAnsi="Cambria"/>
      <w:b/>
      <w:bCs/>
      <w:i/>
      <w:iCs/>
      <w:lang w:bidi="en-US"/>
    </w:rPr>
  </w:style>
  <w:style w:type="paragraph" w:styleId="Cabealho7">
    <w:name w:val="heading 7"/>
    <w:basedOn w:val="Normal"/>
    <w:next w:val="Normal"/>
    <w:link w:val="Cabealho7Carter"/>
    <w:uiPriority w:val="9"/>
    <w:semiHidden/>
    <w:unhideWhenUsed/>
    <w:qFormat/>
    <w:rsid w:val="00FA7C50"/>
    <w:pPr>
      <w:spacing w:before="280"/>
      <w:outlineLvl w:val="6"/>
    </w:pPr>
    <w:rPr>
      <w:rFonts w:ascii="Cambria" w:eastAsia="Times New Roman" w:hAnsi="Cambria"/>
      <w:b/>
      <w:bCs/>
      <w:i/>
      <w:iCs/>
      <w:sz w:val="20"/>
      <w:szCs w:val="20"/>
      <w:lang w:bidi="en-US"/>
    </w:rPr>
  </w:style>
  <w:style w:type="paragraph" w:styleId="Cabealho8">
    <w:name w:val="heading 8"/>
    <w:basedOn w:val="Normal"/>
    <w:next w:val="Normal"/>
    <w:link w:val="Cabealho8Carter"/>
    <w:uiPriority w:val="9"/>
    <w:semiHidden/>
    <w:unhideWhenUsed/>
    <w:qFormat/>
    <w:rsid w:val="00FA7C50"/>
    <w:pPr>
      <w:spacing w:before="280"/>
      <w:outlineLvl w:val="7"/>
    </w:pPr>
    <w:rPr>
      <w:rFonts w:ascii="Cambria" w:eastAsia="Times New Roman" w:hAnsi="Cambria"/>
      <w:b/>
      <w:bCs/>
      <w:i/>
      <w:iCs/>
      <w:sz w:val="18"/>
      <w:szCs w:val="18"/>
      <w:lang w:bidi="en-US"/>
    </w:rPr>
  </w:style>
  <w:style w:type="paragraph" w:styleId="Cabealho9">
    <w:name w:val="heading 9"/>
    <w:basedOn w:val="Normal"/>
    <w:next w:val="Normal"/>
    <w:link w:val="Cabealho9Carter"/>
    <w:uiPriority w:val="9"/>
    <w:semiHidden/>
    <w:unhideWhenUsed/>
    <w:qFormat/>
    <w:rsid w:val="00FA7C50"/>
    <w:pPr>
      <w:spacing w:before="280"/>
      <w:outlineLvl w:val="8"/>
    </w:pPr>
    <w:rPr>
      <w:rFonts w:ascii="Cambria" w:eastAsia="Times New Roman" w:hAnsi="Cambria"/>
      <w:i/>
      <w:iCs/>
      <w:sz w:val="18"/>
      <w:szCs w:val="18"/>
      <w:lang w:bidi="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autoRedefine/>
    <w:qFormat/>
    <w:rsid w:val="00FA7C50"/>
    <w:pPr>
      <w:tabs>
        <w:tab w:val="left" w:pos="4252"/>
      </w:tabs>
    </w:pPr>
  </w:style>
  <w:style w:type="character" w:customStyle="1" w:styleId="Cabealho4Carter">
    <w:name w:val="Cabeçalho 4 Caráter"/>
    <w:basedOn w:val="Tipodeletrapredefinidodopargrafo"/>
    <w:link w:val="Cabealho4"/>
    <w:uiPriority w:val="9"/>
    <w:semiHidden/>
    <w:rsid w:val="00FA7C50"/>
    <w:rPr>
      <w:rFonts w:ascii="Cambria" w:eastAsia="Times New Roman" w:hAnsi="Cambria" w:cs="Times New Roman"/>
      <w:b/>
      <w:bCs/>
      <w:i/>
      <w:iCs/>
      <w:sz w:val="24"/>
      <w:szCs w:val="24"/>
      <w:lang w:val="en-US" w:bidi="en-US"/>
    </w:rPr>
  </w:style>
  <w:style w:type="character" w:customStyle="1" w:styleId="Cabealho5Carter">
    <w:name w:val="Cabeçalho 5 Caráter"/>
    <w:basedOn w:val="Tipodeletrapredefinidodopargrafo"/>
    <w:link w:val="Cabealho5"/>
    <w:uiPriority w:val="9"/>
    <w:semiHidden/>
    <w:rsid w:val="00FA7C50"/>
    <w:rPr>
      <w:rFonts w:ascii="Cambria" w:eastAsia="Times New Roman" w:hAnsi="Cambria" w:cs="Times New Roman"/>
      <w:b/>
      <w:bCs/>
      <w:i/>
      <w:iCs/>
      <w:lang w:val="en-US" w:bidi="en-US"/>
    </w:rPr>
  </w:style>
  <w:style w:type="character" w:customStyle="1" w:styleId="Cabealho6Carter">
    <w:name w:val="Cabeçalho 6 Caráter"/>
    <w:basedOn w:val="Tipodeletrapredefinidodopargrafo"/>
    <w:link w:val="Cabealho6"/>
    <w:uiPriority w:val="9"/>
    <w:semiHidden/>
    <w:rsid w:val="00FA7C50"/>
    <w:rPr>
      <w:rFonts w:ascii="Cambria" w:eastAsia="Times New Roman" w:hAnsi="Cambria" w:cs="Times New Roman"/>
      <w:b/>
      <w:bCs/>
      <w:i/>
      <w:iCs/>
      <w:lang w:val="en-US" w:bidi="en-US"/>
    </w:rPr>
  </w:style>
  <w:style w:type="character" w:customStyle="1" w:styleId="Cabealho7Carter">
    <w:name w:val="Cabeçalho 7 Caráter"/>
    <w:basedOn w:val="Tipodeletrapredefinidodopargrafo"/>
    <w:link w:val="Cabealho7"/>
    <w:uiPriority w:val="9"/>
    <w:semiHidden/>
    <w:rsid w:val="00FA7C50"/>
    <w:rPr>
      <w:rFonts w:ascii="Cambria" w:eastAsia="Times New Roman" w:hAnsi="Cambria" w:cs="Times New Roman"/>
      <w:b/>
      <w:bCs/>
      <w:i/>
      <w:iCs/>
      <w:sz w:val="20"/>
      <w:szCs w:val="20"/>
      <w:lang w:val="en-US" w:bidi="en-US"/>
    </w:rPr>
  </w:style>
  <w:style w:type="character" w:customStyle="1" w:styleId="Cabealho8Carter">
    <w:name w:val="Cabeçalho 8 Caráter"/>
    <w:basedOn w:val="Tipodeletrapredefinidodopargrafo"/>
    <w:link w:val="Cabealho8"/>
    <w:uiPriority w:val="9"/>
    <w:semiHidden/>
    <w:rsid w:val="00FA7C50"/>
    <w:rPr>
      <w:rFonts w:ascii="Cambria" w:eastAsia="Times New Roman" w:hAnsi="Cambria" w:cs="Times New Roman"/>
      <w:b/>
      <w:bCs/>
      <w:i/>
      <w:iCs/>
      <w:sz w:val="18"/>
      <w:szCs w:val="18"/>
      <w:lang w:val="en-US" w:bidi="en-US"/>
    </w:rPr>
  </w:style>
  <w:style w:type="character" w:customStyle="1" w:styleId="Cabealho9Carter">
    <w:name w:val="Cabeçalho 9 Caráter"/>
    <w:basedOn w:val="Tipodeletrapredefinidodopargrafo"/>
    <w:link w:val="Cabealho9"/>
    <w:uiPriority w:val="9"/>
    <w:semiHidden/>
    <w:rsid w:val="00FA7C50"/>
    <w:rPr>
      <w:rFonts w:ascii="Cambria" w:eastAsia="Times New Roman" w:hAnsi="Cambria" w:cs="Times New Roman"/>
      <w:i/>
      <w:iCs/>
      <w:sz w:val="18"/>
      <w:szCs w:val="18"/>
      <w:lang w:val="en-US" w:bidi="en-US"/>
    </w:rPr>
  </w:style>
  <w:style w:type="paragraph" w:styleId="ndice1">
    <w:name w:val="toc 1"/>
    <w:basedOn w:val="Normal"/>
    <w:next w:val="Normal"/>
    <w:uiPriority w:val="39"/>
    <w:unhideWhenUsed/>
    <w:qFormat/>
    <w:rsid w:val="00FA7C50"/>
    <w:pPr>
      <w:spacing w:before="240" w:after="120"/>
      <w:jc w:val="left"/>
    </w:pPr>
    <w:rPr>
      <w:rFonts w:ascii="Palatino" w:hAnsi="Palatino"/>
      <w:b/>
      <w:bCs/>
      <w:szCs w:val="20"/>
    </w:rPr>
  </w:style>
  <w:style w:type="paragraph" w:styleId="ndice2">
    <w:name w:val="toc 2"/>
    <w:basedOn w:val="Normal"/>
    <w:next w:val="Normal"/>
    <w:uiPriority w:val="39"/>
    <w:unhideWhenUsed/>
    <w:qFormat/>
    <w:rsid w:val="00FA7C50"/>
    <w:pPr>
      <w:spacing w:before="120"/>
      <w:ind w:left="220"/>
      <w:jc w:val="left"/>
    </w:pPr>
    <w:rPr>
      <w:rFonts w:ascii="Palatino" w:hAnsi="Palatino"/>
      <w:b/>
      <w:iCs/>
      <w:szCs w:val="20"/>
    </w:rPr>
  </w:style>
  <w:style w:type="paragraph" w:styleId="ndice3">
    <w:name w:val="toc 3"/>
    <w:basedOn w:val="Normal"/>
    <w:next w:val="Normal"/>
    <w:uiPriority w:val="39"/>
    <w:unhideWhenUsed/>
    <w:qFormat/>
    <w:rsid w:val="00FA7C50"/>
    <w:pPr>
      <w:ind w:left="440"/>
      <w:jc w:val="left"/>
    </w:pPr>
    <w:rPr>
      <w:rFonts w:ascii="Palatino" w:hAnsi="Palatino"/>
      <w:i/>
      <w:szCs w:val="20"/>
    </w:rPr>
  </w:style>
  <w:style w:type="paragraph" w:styleId="Textodenotaderodap">
    <w:name w:val="footnote text"/>
    <w:basedOn w:val="Normal"/>
    <w:link w:val="TextodenotaderodapCarter"/>
    <w:autoRedefine/>
    <w:qFormat/>
    <w:rsid w:val="00A23FB8"/>
    <w:pPr>
      <w:tabs>
        <w:tab w:val="left" w:pos="709"/>
      </w:tabs>
      <w:spacing w:before="120" w:line="240" w:lineRule="auto"/>
    </w:pPr>
    <w:rPr>
      <w:rFonts w:eastAsia="Times New Roman"/>
      <w:iCs/>
      <w:spacing w:val="4"/>
      <w:sz w:val="20"/>
      <w:szCs w:val="20"/>
      <w:lang w:eastAsia="pt-PT"/>
    </w:rPr>
  </w:style>
  <w:style w:type="character" w:customStyle="1" w:styleId="TextodenotaderodapCarter">
    <w:name w:val="Texto de nota de rodapé Caráter"/>
    <w:basedOn w:val="Tipodeletrapredefinidodopargrafo"/>
    <w:link w:val="Textodenotaderodap"/>
    <w:rsid w:val="00A23FB8"/>
    <w:rPr>
      <w:rFonts w:ascii="Arial Narrow" w:eastAsia="Times New Roman" w:hAnsi="Arial Narrow" w:cs="Times New Roman"/>
      <w:iCs/>
      <w:spacing w:val="4"/>
      <w:sz w:val="20"/>
      <w:szCs w:val="20"/>
      <w:lang w:eastAsia="pt-PT"/>
    </w:rPr>
  </w:style>
  <w:style w:type="paragraph" w:styleId="Legenda">
    <w:name w:val="caption"/>
    <w:basedOn w:val="Normal"/>
    <w:next w:val="Normal"/>
    <w:uiPriority w:val="35"/>
    <w:semiHidden/>
    <w:unhideWhenUsed/>
    <w:qFormat/>
    <w:rsid w:val="00FA7C50"/>
    <w:rPr>
      <w:rFonts w:eastAsia="Times New Roman"/>
      <w:b/>
      <w:bCs/>
      <w:sz w:val="18"/>
      <w:szCs w:val="18"/>
      <w:lang w:bidi="en-US"/>
    </w:rPr>
  </w:style>
  <w:style w:type="character" w:styleId="Refdenotaderodap">
    <w:name w:val="footnote reference"/>
    <w:basedOn w:val="Tipodeletrapredefinidodopargrafo"/>
    <w:semiHidden/>
    <w:qFormat/>
    <w:rsid w:val="00FA7C50"/>
    <w:rPr>
      <w:rFonts w:ascii="Book Antiqua" w:hAnsi="Book Antiqua"/>
      <w:iCs/>
      <w:sz w:val="22"/>
      <w:szCs w:val="20"/>
      <w:vertAlign w:val="superscript"/>
    </w:rPr>
  </w:style>
  <w:style w:type="paragraph" w:styleId="SemEspaamento">
    <w:name w:val="No Spacing"/>
    <w:link w:val="SemEspaamentoCarter"/>
    <w:uiPriority w:val="1"/>
    <w:qFormat/>
    <w:rsid w:val="00FA7C50"/>
    <w:pPr>
      <w:tabs>
        <w:tab w:val="center" w:pos="4252"/>
        <w:tab w:val="right" w:pos="8504"/>
      </w:tabs>
    </w:pPr>
    <w:rPr>
      <w:rFonts w:ascii="Calibri" w:hAnsi="Calibri" w:cs="Times New Roman"/>
      <w:lang w:val="en-US"/>
    </w:rPr>
  </w:style>
  <w:style w:type="character" w:customStyle="1" w:styleId="SemEspaamentoCarter">
    <w:name w:val="Sem Espaçamento Caráter"/>
    <w:basedOn w:val="Tipodeletrapredefinidodopargrafo"/>
    <w:link w:val="SemEspaamento"/>
    <w:uiPriority w:val="1"/>
    <w:rsid w:val="00FA7C50"/>
    <w:rPr>
      <w:rFonts w:ascii="Calibri" w:hAnsi="Calibri" w:cs="Times New Roman"/>
      <w:lang w:val="en-US"/>
    </w:rPr>
  </w:style>
  <w:style w:type="character" w:customStyle="1" w:styleId="Cabealho1Carter">
    <w:name w:val="Cabeçalho 1 Caráter"/>
    <w:basedOn w:val="Tipodeletrapredefinidodopargrafo"/>
    <w:link w:val="Cabealho1"/>
    <w:uiPriority w:val="9"/>
    <w:rsid w:val="00FA7C50"/>
    <w:rPr>
      <w:rFonts w:asciiTheme="majorHAnsi" w:eastAsiaTheme="majorEastAsia" w:hAnsiTheme="majorHAnsi" w:cstheme="majorBidi"/>
      <w:b/>
      <w:bCs/>
      <w:color w:val="365F91" w:themeColor="accent1" w:themeShade="BF"/>
      <w:sz w:val="28"/>
      <w:szCs w:val="28"/>
      <w:lang w:val="en-US"/>
    </w:rPr>
  </w:style>
  <w:style w:type="paragraph" w:styleId="Cabealhodondice">
    <w:name w:val="TOC Heading"/>
    <w:basedOn w:val="Cabealho1"/>
    <w:next w:val="Normal"/>
    <w:uiPriority w:val="39"/>
    <w:semiHidden/>
    <w:unhideWhenUsed/>
    <w:qFormat/>
    <w:rsid w:val="00FA7C50"/>
    <w:pPr>
      <w:keepNext w:val="0"/>
      <w:keepLines w:val="0"/>
      <w:spacing w:before="600"/>
      <w:outlineLvl w:val="9"/>
    </w:pPr>
    <w:rPr>
      <w:rFonts w:ascii="Cambria" w:eastAsia="Times New Roman" w:hAnsi="Cambria" w:cs="Times New Roman"/>
      <w:i/>
      <w:iCs/>
      <w:color w:val="auto"/>
      <w:sz w:val="32"/>
      <w:szCs w:val="32"/>
      <w:lang w:bidi="en-US"/>
    </w:rPr>
  </w:style>
  <w:style w:type="paragraph" w:customStyle="1" w:styleId="textoabreviaturas">
    <w:name w:val="texto abreviaturas"/>
    <w:basedOn w:val="Normal"/>
    <w:link w:val="textoabreviaturasCarcter"/>
    <w:autoRedefine/>
    <w:qFormat/>
    <w:rsid w:val="00FA7C50"/>
    <w:pPr>
      <w:tabs>
        <w:tab w:val="left" w:pos="709"/>
      </w:tabs>
      <w:spacing w:before="60"/>
      <w:jc w:val="center"/>
    </w:pPr>
    <w:rPr>
      <w:rFonts w:ascii="Book Antiqua" w:eastAsia="Times New Roman" w:hAnsi="Book Antiqua"/>
      <w:szCs w:val="28"/>
      <w:lang w:bidi="en-US"/>
    </w:rPr>
  </w:style>
  <w:style w:type="character" w:customStyle="1" w:styleId="textoabreviaturasCarcter">
    <w:name w:val="texto abreviaturas Carácter"/>
    <w:basedOn w:val="Tipodeletrapredefinidodopargrafo"/>
    <w:link w:val="textoabreviaturas"/>
    <w:rsid w:val="00FA7C50"/>
    <w:rPr>
      <w:rFonts w:ascii="Book Antiqua" w:eastAsia="Times New Roman" w:hAnsi="Book Antiqua" w:cs="Times New Roman"/>
      <w:szCs w:val="28"/>
      <w:lang w:bidi="en-US"/>
    </w:rPr>
  </w:style>
  <w:style w:type="paragraph" w:customStyle="1" w:styleId="textotese">
    <w:name w:val="texto tese"/>
    <w:basedOn w:val="Normal"/>
    <w:link w:val="textoteseCarcter"/>
    <w:qFormat/>
    <w:rsid w:val="00FA7C50"/>
    <w:pPr>
      <w:tabs>
        <w:tab w:val="left" w:pos="709"/>
      </w:tabs>
      <w:spacing w:line="336" w:lineRule="auto"/>
      <w:ind w:firstLine="851"/>
    </w:pPr>
    <w:rPr>
      <w:rFonts w:ascii="Palatino" w:hAnsi="Palatino"/>
      <w:spacing w:val="4"/>
      <w:sz w:val="25"/>
    </w:rPr>
  </w:style>
  <w:style w:type="character" w:customStyle="1" w:styleId="textoteseCarcter">
    <w:name w:val="texto tese Carácter"/>
    <w:basedOn w:val="Tipodeletrapredefinidodopargrafo"/>
    <w:link w:val="textotese"/>
    <w:rsid w:val="00FA7C50"/>
    <w:rPr>
      <w:rFonts w:ascii="Palatino" w:hAnsi="Palatino" w:cs="Times New Roman"/>
      <w:spacing w:val="4"/>
      <w:sz w:val="25"/>
      <w:lang w:val="en-US"/>
    </w:rPr>
  </w:style>
  <w:style w:type="character" w:customStyle="1" w:styleId="ttulo1">
    <w:name w:val="título 1"/>
    <w:basedOn w:val="Tipodeletrapredefinidodopargrafo"/>
    <w:qFormat/>
    <w:rsid w:val="00FA7C50"/>
    <w:rPr>
      <w:b/>
    </w:rPr>
  </w:style>
  <w:style w:type="character" w:customStyle="1" w:styleId="ttulo2">
    <w:name w:val="título 2"/>
    <w:basedOn w:val="Tipodeletrapredefinidodopargrafo"/>
    <w:qFormat/>
    <w:rsid w:val="00FA7C50"/>
    <w:rPr>
      <w:b/>
    </w:rPr>
  </w:style>
  <w:style w:type="paragraph" w:customStyle="1" w:styleId="Ttulo12">
    <w:name w:val="Título 1.2"/>
    <w:basedOn w:val="textotese"/>
    <w:link w:val="Ttulo12Carcter"/>
    <w:qFormat/>
    <w:rsid w:val="00FA7C50"/>
    <w:pPr>
      <w:tabs>
        <w:tab w:val="clear" w:pos="709"/>
        <w:tab w:val="left" w:pos="851"/>
      </w:tabs>
      <w:ind w:left="357"/>
      <w:contextualSpacing/>
    </w:pPr>
    <w:rPr>
      <w:rFonts w:eastAsia="Times New Roman"/>
      <w:i/>
    </w:rPr>
  </w:style>
  <w:style w:type="character" w:customStyle="1" w:styleId="Ttulo12Carcter">
    <w:name w:val="Título 1.2 Carácter"/>
    <w:basedOn w:val="textoteseCarcter"/>
    <w:link w:val="Ttulo12"/>
    <w:rsid w:val="00FA7C50"/>
    <w:rPr>
      <w:rFonts w:ascii="Palatino" w:eastAsia="Times New Roman" w:hAnsi="Palatino" w:cs="Times New Roman"/>
      <w:i/>
      <w:spacing w:val="4"/>
      <w:sz w:val="25"/>
      <w:lang w:val="en-US"/>
    </w:rPr>
  </w:style>
  <w:style w:type="character" w:customStyle="1" w:styleId="Ttulo111">
    <w:name w:val="Título 1.1.1."/>
    <w:basedOn w:val="Tipodeletrapredefinidodopargrafo"/>
    <w:qFormat/>
    <w:rsid w:val="00FA7C50"/>
    <w:rPr>
      <w:sz w:val="24"/>
    </w:rPr>
  </w:style>
  <w:style w:type="paragraph" w:customStyle="1" w:styleId="capitulotese">
    <w:name w:val="capitulo tese"/>
    <w:basedOn w:val="textotese"/>
    <w:next w:val="textotese"/>
    <w:link w:val="capituloteseCarcter"/>
    <w:qFormat/>
    <w:rsid w:val="00FA7C50"/>
    <w:pPr>
      <w:keepNext/>
      <w:pageBreakBefore/>
      <w:tabs>
        <w:tab w:val="clear" w:pos="709"/>
      </w:tabs>
      <w:spacing w:before="1200" w:after="240"/>
      <w:ind w:firstLine="0"/>
      <w:jc w:val="center"/>
    </w:pPr>
    <w:rPr>
      <w:b/>
      <w:iCs/>
      <w:smallCaps/>
      <w:sz w:val="22"/>
    </w:rPr>
  </w:style>
  <w:style w:type="character" w:customStyle="1" w:styleId="capituloteseCarcter">
    <w:name w:val="capitulo tese Carácter"/>
    <w:basedOn w:val="textoabreviaturasCarcter"/>
    <w:link w:val="capitulotese"/>
    <w:rsid w:val="00FA7C50"/>
    <w:rPr>
      <w:rFonts w:ascii="Palatino" w:eastAsia="Times New Roman" w:hAnsi="Palatino" w:cs="Times New Roman"/>
      <w:b/>
      <w:iCs/>
      <w:smallCaps/>
      <w:spacing w:val="4"/>
      <w:szCs w:val="28"/>
      <w:lang w:bidi="en-US"/>
    </w:rPr>
  </w:style>
  <w:style w:type="paragraph" w:customStyle="1" w:styleId="textocapitulo">
    <w:name w:val="texto capitulo"/>
    <w:basedOn w:val="textotese"/>
    <w:link w:val="textocapituloCarcter"/>
    <w:qFormat/>
    <w:rsid w:val="00FA7C50"/>
    <w:pPr>
      <w:keepNext/>
      <w:numPr>
        <w:numId w:val="2"/>
      </w:numPr>
      <w:tabs>
        <w:tab w:val="clear" w:pos="709"/>
      </w:tabs>
      <w:spacing w:after="480"/>
      <w:contextualSpacing/>
      <w:jc w:val="center"/>
    </w:pPr>
    <w:rPr>
      <w:b/>
    </w:rPr>
  </w:style>
  <w:style w:type="character" w:customStyle="1" w:styleId="textocapituloCarcter">
    <w:name w:val="texto capitulo Carácter"/>
    <w:basedOn w:val="textoteseCarcter"/>
    <w:link w:val="textocapitulo"/>
    <w:rsid w:val="00FA7C50"/>
    <w:rPr>
      <w:rFonts w:ascii="Palatino" w:hAnsi="Palatino" w:cs="Times New Roman"/>
      <w:b/>
      <w:spacing w:val="4"/>
      <w:sz w:val="25"/>
      <w:lang w:val="en-US"/>
    </w:rPr>
  </w:style>
  <w:style w:type="paragraph" w:customStyle="1" w:styleId="item1">
    <w:name w:val="item 1"/>
    <w:basedOn w:val="textotese"/>
    <w:link w:val="item1Carcter"/>
    <w:qFormat/>
    <w:rsid w:val="00FA7C50"/>
    <w:pPr>
      <w:keepNext/>
      <w:numPr>
        <w:ilvl w:val="1"/>
        <w:numId w:val="2"/>
      </w:numPr>
      <w:spacing w:before="480" w:after="120"/>
    </w:pPr>
    <w:rPr>
      <w:b/>
    </w:rPr>
  </w:style>
  <w:style w:type="character" w:customStyle="1" w:styleId="item1Carcter">
    <w:name w:val="item 1 Carácter"/>
    <w:basedOn w:val="textoteseCarcter"/>
    <w:link w:val="item1"/>
    <w:rsid w:val="00FA7C50"/>
    <w:rPr>
      <w:rFonts w:ascii="Palatino" w:hAnsi="Palatino" w:cs="Times New Roman"/>
      <w:b/>
      <w:spacing w:val="4"/>
      <w:sz w:val="25"/>
      <w:lang w:val="en-US"/>
    </w:rPr>
  </w:style>
  <w:style w:type="paragraph" w:customStyle="1" w:styleId="item2">
    <w:name w:val="item 2"/>
    <w:basedOn w:val="textotese"/>
    <w:link w:val="item2Carcter"/>
    <w:qFormat/>
    <w:rsid w:val="00FA7C50"/>
    <w:pPr>
      <w:keepNext/>
      <w:spacing w:before="360" w:after="120"/>
      <w:ind w:left="1418" w:hanging="567"/>
    </w:pPr>
    <w:rPr>
      <w:i/>
    </w:rPr>
  </w:style>
  <w:style w:type="character" w:customStyle="1" w:styleId="item2Carcter">
    <w:name w:val="item 2 Carácter"/>
    <w:basedOn w:val="textoteseCarcter"/>
    <w:link w:val="item2"/>
    <w:rsid w:val="00FA7C50"/>
    <w:rPr>
      <w:rFonts w:ascii="Palatino" w:hAnsi="Palatino" w:cs="Times New Roman"/>
      <w:i/>
      <w:spacing w:val="4"/>
      <w:sz w:val="25"/>
      <w:lang w:val="en-US"/>
    </w:rPr>
  </w:style>
  <w:style w:type="paragraph" w:customStyle="1" w:styleId="frente">
    <w:name w:val="frente"/>
    <w:basedOn w:val="textotese"/>
    <w:link w:val="frenteCarcter"/>
    <w:qFormat/>
    <w:rsid w:val="00FA7C50"/>
    <w:rPr>
      <w:rFonts w:ascii="Book Antiqua" w:hAnsi="Book Antiqua"/>
    </w:rPr>
  </w:style>
  <w:style w:type="character" w:customStyle="1" w:styleId="frenteCarcter">
    <w:name w:val="frente Carácter"/>
    <w:basedOn w:val="textoteseCarcter"/>
    <w:link w:val="frente"/>
    <w:rsid w:val="00FA7C50"/>
    <w:rPr>
      <w:rFonts w:ascii="Book Antiqua" w:hAnsi="Book Antiqua" w:cs="Times New Roman"/>
      <w:spacing w:val="4"/>
      <w:sz w:val="25"/>
      <w:lang w:val="en-US"/>
    </w:rPr>
  </w:style>
  <w:style w:type="paragraph" w:customStyle="1" w:styleId="item3">
    <w:name w:val="item 3"/>
    <w:basedOn w:val="textotese"/>
    <w:link w:val="item3Carcter"/>
    <w:qFormat/>
    <w:rsid w:val="00FA7C50"/>
    <w:pPr>
      <w:keepNext/>
      <w:spacing w:before="240" w:after="120"/>
    </w:pPr>
  </w:style>
  <w:style w:type="character" w:customStyle="1" w:styleId="item3Carcter">
    <w:name w:val="item 3 Carácter"/>
    <w:basedOn w:val="Ttulo12Carcter"/>
    <w:link w:val="item3"/>
    <w:rsid w:val="00FA7C50"/>
    <w:rPr>
      <w:rFonts w:ascii="Palatino" w:eastAsia="Times New Roman" w:hAnsi="Palatino" w:cs="Times New Roman"/>
      <w:i/>
      <w:spacing w:val="4"/>
      <w:sz w:val="25"/>
      <w:lang w:val="en-US"/>
    </w:rPr>
  </w:style>
  <w:style w:type="paragraph" w:customStyle="1" w:styleId="item31">
    <w:name w:val="item 31"/>
    <w:basedOn w:val="Ttulo12"/>
    <w:next w:val="item3"/>
    <w:qFormat/>
    <w:rsid w:val="00FA7C50"/>
    <w:rPr>
      <w:b/>
    </w:rPr>
  </w:style>
  <w:style w:type="paragraph" w:customStyle="1" w:styleId="Estilo3">
    <w:name w:val="Estilo3"/>
    <w:basedOn w:val="Normal"/>
    <w:link w:val="Estilo3Carcter"/>
    <w:qFormat/>
    <w:rsid w:val="00FA7C50"/>
    <w:pPr>
      <w:tabs>
        <w:tab w:val="left" w:pos="709"/>
      </w:tabs>
    </w:pPr>
    <w:rPr>
      <w:rFonts w:ascii="Book Antiqua" w:hAnsi="Book Antiqua"/>
    </w:rPr>
  </w:style>
  <w:style w:type="character" w:customStyle="1" w:styleId="Estilo3Carcter">
    <w:name w:val="Estilo3 Carácter"/>
    <w:basedOn w:val="Tipodeletrapredefinidodopargrafo"/>
    <w:link w:val="Estilo3"/>
    <w:rsid w:val="00FA7C50"/>
    <w:rPr>
      <w:rFonts w:ascii="Book Antiqua" w:hAnsi="Book Antiqua" w:cs="Times New Roman"/>
      <w:sz w:val="24"/>
      <w:lang w:val="en-US"/>
    </w:rPr>
  </w:style>
  <w:style w:type="paragraph" w:customStyle="1" w:styleId="sintese">
    <w:name w:val="sintese"/>
    <w:basedOn w:val="Estilo3"/>
    <w:link w:val="sinteseCarcter"/>
    <w:qFormat/>
    <w:rsid w:val="00FA7C50"/>
    <w:pPr>
      <w:numPr>
        <w:numId w:val="3"/>
      </w:numPr>
      <w:tabs>
        <w:tab w:val="clear" w:pos="709"/>
        <w:tab w:val="left" w:pos="284"/>
      </w:tabs>
      <w:jc w:val="center"/>
    </w:pPr>
    <w:rPr>
      <w:b/>
    </w:rPr>
  </w:style>
  <w:style w:type="character" w:customStyle="1" w:styleId="sinteseCarcter">
    <w:name w:val="sintese Carácter"/>
    <w:basedOn w:val="Estilo3Carcter"/>
    <w:link w:val="sintese"/>
    <w:rsid w:val="00FA7C50"/>
    <w:rPr>
      <w:rFonts w:ascii="Book Antiqua" w:hAnsi="Book Antiqua" w:cs="Times New Roman"/>
      <w:b/>
      <w:sz w:val="24"/>
      <w:lang w:val="en-US"/>
    </w:rPr>
  </w:style>
  <w:style w:type="paragraph" w:customStyle="1" w:styleId="textosintese">
    <w:name w:val="texto sintese"/>
    <w:basedOn w:val="textotese"/>
    <w:link w:val="textosinteseCarcter"/>
    <w:qFormat/>
    <w:rsid w:val="00FA7C50"/>
    <w:pPr>
      <w:tabs>
        <w:tab w:val="clear" w:pos="709"/>
        <w:tab w:val="left" w:pos="284"/>
      </w:tabs>
      <w:ind w:left="357" w:hanging="357"/>
    </w:pPr>
  </w:style>
  <w:style w:type="character" w:customStyle="1" w:styleId="textosinteseCarcter">
    <w:name w:val="texto sintese Carácter"/>
    <w:basedOn w:val="Estilo3Carcter"/>
    <w:link w:val="textosintese"/>
    <w:rsid w:val="00FA7C50"/>
    <w:rPr>
      <w:rFonts w:ascii="Palatino" w:hAnsi="Palatino" w:cs="Times New Roman"/>
      <w:spacing w:val="4"/>
      <w:sz w:val="25"/>
      <w:lang w:val="en-US"/>
    </w:rPr>
  </w:style>
  <w:style w:type="paragraph" w:styleId="NormalWeb">
    <w:name w:val="Normal (Web)"/>
    <w:basedOn w:val="Normal"/>
    <w:uiPriority w:val="99"/>
    <w:unhideWhenUsed/>
    <w:rsid w:val="000E78B5"/>
    <w:pPr>
      <w:tabs>
        <w:tab w:val="clear" w:pos="1418"/>
      </w:tabs>
      <w:spacing w:before="100" w:beforeAutospacing="1" w:after="100" w:afterAutospacing="1" w:line="240" w:lineRule="auto"/>
      <w:ind w:firstLine="0"/>
      <w:jc w:val="left"/>
    </w:pPr>
    <w:rPr>
      <w:rFonts w:ascii="Times New Roman" w:eastAsia="Times New Roman" w:hAnsi="Times New Roman"/>
      <w:color w:val="000000"/>
      <w:szCs w:val="24"/>
      <w:lang w:eastAsia="pt-PT"/>
    </w:rPr>
  </w:style>
  <w:style w:type="character" w:styleId="Hiperligao">
    <w:name w:val="Hyperlink"/>
    <w:basedOn w:val="Tipodeletrapredefinidodopargrafo"/>
    <w:uiPriority w:val="99"/>
    <w:semiHidden/>
    <w:unhideWhenUsed/>
    <w:rsid w:val="000E78B5"/>
    <w:rPr>
      <w:color w:val="0000FF"/>
      <w:u w:val="single"/>
    </w:rPr>
  </w:style>
  <w:style w:type="paragraph" w:styleId="Textodebalo">
    <w:name w:val="Balloon Text"/>
    <w:basedOn w:val="Normal"/>
    <w:link w:val="TextodebaloCarter"/>
    <w:uiPriority w:val="99"/>
    <w:semiHidden/>
    <w:unhideWhenUsed/>
    <w:rsid w:val="000E78B5"/>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E7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Y:\2011\7&#9516;&#172;%20Sec&#9500;&#186;&#9500;&#250;o%202011\cons.%20ANT&#9500;&#244;NIO%20SILVA%20GON&#9500;&#231;ALVES\Revista%20n.&#9516;&#9553;%205578.09.OTVLSB.L1.S1.doc" TargetMode="External"/><Relationship Id="rId3" Type="http://schemas.openxmlformats.org/officeDocument/2006/relationships/settings" Target="settings.xml"/><Relationship Id="rId7" Type="http://schemas.openxmlformats.org/officeDocument/2006/relationships/hyperlink" Target="file:///Y:\2011\7&#9516;&#172;%20Sec&#9500;&#186;&#9500;&#250;o%202011\cons.%20ANT&#9500;&#244;NIO%20SILVA%20GON&#9500;&#231;ALVES\Revista%20n.&#9516;&#9553;%205578.09.OTVLSB.L1.S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Y:\2011\7&#9516;&#172;%20Sec&#9500;&#186;&#9500;&#250;o%202011\cons.%20ANT&#9500;&#244;NIO%20SILVA%20GON&#9500;&#231;ALVES\Revista%20n.&#9516;&#9553;%205578.09.OTVLSB.L1.S1.doc"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Y:\2011\7&#9516;&#172;%20Sec&#9500;&#186;&#9500;&#250;o%202011\cons.%20ANT&#9500;&#244;NIO%20SILVA%20GON&#9500;&#231;ALVES\Revista%20n.&#9516;&#9553;%205578.09.OTVLSB.L1.S1.doc"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3326</Words>
  <Characters>17961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Anónimo</dc:creator>
  <cp:lastModifiedBy>Laurinda Gemas</cp:lastModifiedBy>
  <cp:revision>2</cp:revision>
  <dcterms:created xsi:type="dcterms:W3CDTF">2017-05-31T19:45:00Z</dcterms:created>
  <dcterms:modified xsi:type="dcterms:W3CDTF">2017-05-31T19:45:00Z</dcterms:modified>
</cp:coreProperties>
</file>