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8B5" w:rsidRPr="00B2125A" w:rsidRDefault="000E78B5" w:rsidP="00B2125A">
      <w:pPr>
        <w:tabs>
          <w:tab w:val="clear" w:pos="1418"/>
          <w:tab w:val="left" w:pos="284"/>
          <w:tab w:val="left" w:pos="2767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bookmarkStart w:id="0" w:name="_GoBack"/>
      <w:bookmarkEnd w:id="0"/>
      <w:r w:rsidRPr="00B2125A">
        <w:rPr>
          <w:rFonts w:ascii="Times New Roman" w:eastAsia="Times New Roman" w:hAnsi="Times New Roman"/>
          <w:bCs/>
          <w:sz w:val="22"/>
          <w:lang w:eastAsia="pt-PT"/>
        </w:rPr>
        <w:t>5578/09.OTVLSB.L1.S1.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0" name="Imagem 1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Nº Convencional: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7ª SECÇÃO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Relator: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SILVA GONÇALVES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Descritores: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CONFLITO DE COMPETÊNCIA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TRIBUNAL DE COMÉRCIO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ACÇÕES RELATIVAS AO EXERCÍCIO DE DIREITOS SOCIAIS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ACÇÃO UT SINGULI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ACÇÃO UTI UNIVERSI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1" name="Imagem 2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2" name="Imagem 3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Data do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Acordão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>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15-09-2011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Votação: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UNANIMIDADE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Texto Integral: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S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Privacidade: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1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3" name="Imagem 4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4" name="Imagem 5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Meio Processual: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REVISTA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Decisão: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NEGADA A REVISTA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Área Temática: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DIREITO PROCESSUAL CIVIL - COMPETÊNCIA INTERNA (EM RAZÂO DA MATÉRIA)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DIREITO DAS SOCIEDADES COMERCIAIS - ADMINISTRAÇÃO E FISCALIZAÇÃO (RESPONSABILIDADE CIVIL) 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Doutrina: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- Brito Correia, Direito Comercial, Sociedades Comerciais, vol. II, 4.ª, p. 305 e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segs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..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- Coutinho de Abreu, Curso de Direito Comercial, vol. II, Das Sociedades, p. 205 e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segs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..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- Ferrer Correia, Sociedades Comerciais (policopiado), p. 348 e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segs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>..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- Paulo Olavo e Cunha, in “Breve Nota sobre os Direitos dos Sócios (das sociedades responsabilidade limitada) no âmbito do Código das Sociedades Comerciais”, in Novas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Perspectivas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do Direito Comercial.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- Pupo Correia, Direito Comercial, 7.ª ed., p. 517.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- Raul Ventura, Reflexões sobre Direitos dos Sócios, C.J., Ano </w:t>
      </w:r>
      <w:proofErr w:type="gramStart"/>
      <w:r w:rsidRPr="00B2125A">
        <w:rPr>
          <w:rFonts w:ascii="Times New Roman" w:eastAsia="Times New Roman" w:hAnsi="Times New Roman"/>
          <w:bCs/>
          <w:sz w:val="22"/>
          <w:lang w:eastAsia="pt-PT"/>
        </w:rPr>
        <w:t>IX–</w:t>
      </w:r>
      <w:proofErr w:type="gram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1984, Tomo 2, pág.7.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Legislação Nacional: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CÓDIGO DE PROCESSO CIVIL (CPC): - ARTIGOS 67.º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 xml:space="preserve">L.O.F.T.J. (LEI 3/99, DE 13.01): - ARTIGOS 18.º,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NºS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1 E 2, 77.º, N.º1, AL. A), 89.º N.º1, AL.ª C).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CÓDIGO DAS SOCIEDADES COMERCIAIS (CSC): - ARTIGOS 64.º, 72.º, N.º1, 75.º.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Jurisprudência Nacional: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ACÓRDÃOS DO SUPREMO TRIBUNAL DE JUSTIÇA: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-DE 17/9/2009, EM WWW.DGSI.PT;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br/>
        <w:t>-DE 11/1/2011, EM WWW.DGSI.</w:t>
      </w:r>
      <w:proofErr w:type="gramStart"/>
      <w:r w:rsidRPr="00B2125A">
        <w:rPr>
          <w:rFonts w:ascii="Times New Roman" w:eastAsia="Times New Roman" w:hAnsi="Times New Roman"/>
          <w:bCs/>
          <w:sz w:val="22"/>
          <w:lang w:eastAsia="pt-PT"/>
        </w:rPr>
        <w:t>PT .</w:t>
      </w:r>
      <w:proofErr w:type="gramEnd"/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5" name="Imagem 6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6" name="Imagem 7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proofErr w:type="gramStart"/>
      <w:r w:rsidRPr="00B2125A">
        <w:rPr>
          <w:rFonts w:ascii="Times New Roman" w:eastAsia="Times New Roman" w:hAnsi="Times New Roman"/>
          <w:bCs/>
          <w:sz w:val="22"/>
          <w:lang w:eastAsia="pt-PT"/>
        </w:rPr>
        <w:t>Sumário :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sz w:val="22"/>
          <w:lang w:eastAsia="pt-PT"/>
        </w:rPr>
        <w:br/>
        <w:t xml:space="preserve">I - O Tribunal de Comércio é um Tribunal de competência especializada afirmado no art.º 89.º da Lei de Organização e Funcionamento dos Tribunais Judiciais (Lei n.º 3/99, de 13.01), competindo a este tipo de tribunais preparar e julgar as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relativas ao exercício de 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>,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cfr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art.º 89.º n.º1, al.ª c),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II - A par da própria sociedade podem também os sócios, fazendo uso da igualmente denominada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isoladamente, a título particular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), propor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de responsabilidade contra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administradores, com vista a obterem, a favor da sociedade, a reparação do prejuízo que esta tenha sofrido, quando a mesma o não tenha feito. Esta última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incluiu-se no espaço jurídico-substantivo dos direitos sociais de que fala o art.º 89.º n.º1, al.ª c),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lastRenderedPageBreak/>
        <w:t xml:space="preserve">III - Este juízo que acabamos de fazer sobre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dos sócios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)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, na qual o direito exercido pelos sócios é um direito da sociedade (não próprio) e através da qual se procura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 responsabilidade dos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e/ou administradores perante ela, naturalmente se estende também aos casos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>IV - Na verdade, quando a sociedade se apresenta, ela própria, a demandar os seus ex-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ex-administradores, responsabilizando-os pelo desprezo a que votaram os seus deveres de cuidado e lealdade, não é só em nome próprio que age mas, igualmente, está ela a acautelar, mesmo que reflexamente, o particularizado interesse dos sócios, o fim último de todo o exercício da sua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actividade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comercial.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7" name="Imagem 8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noProof/>
          <w:sz w:val="22"/>
          <w:lang w:eastAsia="pt-PT"/>
        </w:rPr>
        <w:drawing>
          <wp:inline distT="0" distB="0" distL="0" distR="0">
            <wp:extent cx="6985" cy="6985"/>
            <wp:effectExtent l="0" t="0" r="0" b="0"/>
            <wp:docPr id="18" name="Imagem 9" descr="http://www.dgsi.pt/icons/ec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gsi.pt/icons/ecblank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Decisão Texto Integral:</w:t>
      </w:r>
      <w:r w:rsidRPr="00B2125A">
        <w:rPr>
          <w:rFonts w:ascii="Times New Roman" w:eastAsia="Times New Roman" w:hAnsi="Times New Roman"/>
          <w:sz w:val="22"/>
          <w:lang w:eastAsia="pt-PT"/>
        </w:rPr>
        <w:tab/>
      </w:r>
      <w:r w:rsidRPr="00B2125A">
        <w:rPr>
          <w:rFonts w:ascii="Times New Roman" w:eastAsia="Times New Roman" w:hAnsi="Times New Roman"/>
          <w:sz w:val="22"/>
          <w:lang w:eastAsia="pt-PT"/>
        </w:rPr>
        <w:br/>
        <w:t xml:space="preserve">Acordam no Supremo Tribunal de Justiça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“AA, SA”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instaurou a presente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declarativa, com processo ordinário, contra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BB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 outros pedindo a condenação solidária dos réus a pagar-lhe: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- A quantia de EUR 482.514,10, acrescida de juros de mora, à taxa legal, vencidos desde 31/3/2009 e vincendos, até integral pagamento;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- A quantia que se vier a liquidar, a título de indemnização, pelos prejuízos sofridos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pela A.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respeitante ao acréscimo de encargos da sua responsabilidade emergente do aumento das remunerações dos RR no período de Janeiro a Junho de 2008, nomeadamente as contribuições para a segurança social, as prestações para outros sistemas de previdência e assistência social e os prémios de seguro de acidentes de trabalho.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Para tanto, alega, em síntese: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Os RR.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foram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administradores da Autora até 24 de Junho de 2008, data em que cessaram funções;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Em Abril de 2008, o 1.º Réu, na qualidade de Presidente do Conselho de Administração da Autora, determinou à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Direcção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Recursos Humanos da Autora que procedesse à alteração da remuneração dos Réus, com efeitos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retroactivos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 Janeiro daquele ano,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por forma a que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os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respectivos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valores brutos passassem a corresponder à sua remuneração líquida, o que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efectivamente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sucedeu;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Tal deliberação é nula por se tratar de matéria da competência da Assembleia-geral de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accionistas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Devido à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actuação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dos réus, violadora dos seus deveres de diligência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64º, CSC), a autora sofreu diversos danos, que descrimina, e cujo ressarcimento pede nesta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72º, n.º 1 do CSC).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foi contestada. Além do mais, foi deduzida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excepção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incompetência material da Vara Cível para conhecer desta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Findos os articulados, foi proferido despacho que julgou procedente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excepção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incompetência material do Tribunal Cível de Lisboa e absolveu os réus da instância.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lastRenderedPageBreak/>
        <w:t>Desta decisão recorreu a autora para a Relação de Lisboa que, por Acórdão de 30.07.2010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cfr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fls. 901 a 306), confirmou a sentença recorrida.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O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“AA, SA”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interpôs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recurso extraordinário de revista</w:t>
      </w:r>
      <w:r w:rsidRPr="00B2125A">
        <w:rPr>
          <w:rFonts w:ascii="Times New Roman" w:eastAsia="Times New Roman" w:hAnsi="Times New Roman"/>
          <w:sz w:val="22"/>
          <w:lang w:eastAsia="pt-PT"/>
        </w:rPr>
        <w:t>, assim admitido por Acórdão deste Supremo Tribunal de 19/05/2011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cfr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fls.947 a 951), apresentando as seguintes conclusões: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I. 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prevista no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.° 77.°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do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Código das Sociedades Comerciais parte da iniciativa de um sócio que, no exercício de uma faculdade legal, se substitui à sociedade, para efeitos de legitimação na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presente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não foi intentada por um sócio, mas pela própria sociedade contra os seus ex-administradores;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Não se trata, sequer, de uma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pois que, em rigor, não se discute a existência de responsabilidade civil dos administradores, mas sim uma obrigação de restituição do indevido;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IV.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 mesmo na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o direito é apenas um e de um só titular - a sociedade -, admitindo-se apenas a substituição processual do sócio na sua interposição caso a sociedade a não faça, sendo o resultado dessa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sempre em favor da sociedade e nunca do sócio que interpôs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em benefício desta, prova evidente de que nenhum direito assiste ao sócio a este respeito e de que o mesmo não é titular de qualquer "direito social";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V.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Não são os sócios quem originariamente e em primeira linha são titulares de um direito de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contra os administradores da sociedade em cujo capital participam pelos danos que aqueles causaram à sociedade; é a sociedade a única titular desse direito de natureza indemnizatória, é ela a lesada e é seu 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respectivo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crédito que reverterá sempre a seu favor;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VI.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decisão recorrida, porém, inverte toda a lógica do regime jurídico acima exposto e coloca como um </w:t>
      </w:r>
      <w:proofErr w:type="gram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 priori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considerando que se esta consubstancia o exercício de um direito social, então, também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será um exercício de um direito social.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VII.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Os direitos sociais são direitos próprios e originários dos sócios, que lhes são conferidos em virtude dessa qualidade e que são exercidos no seu âmbito - trata-se de uma relação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subjectivada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e que nada tem a ver com a "vida da sociedade", tendo antes um âmbito muito mais restrito da posição de cada sócio em face da sociedade e em face dos demais sócios.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VIII.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Assim, nem mesmo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consubstancia o exercício de um direito social, pois que o direito que se exerce por via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e que se pretende seja por ela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efectivado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não é um direito do sócio ou para o sócio, mas um direito da sociedade, que ela tem de prosseguir, intervindo a título principal na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e cujo cumprimento aproveita exclusivamente à sociedade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IX.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dimensão social da faculdade atribuída ao sócio esgota-se com a apresentação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e é apenas de natureza processual - confere legitimidade para o seu exercício a quem originariamente não a tinha por não ser dele titular.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Se uma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não consubstancia o exercício de um direito social e a sua apreciação não estará submetida à competência dos tribunais de comércio, por maioria de razão, uma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intentada pela própria sociedade contra os seus ex-administradores, no exercício de um direito originariamente seu, sendo uma "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social", por respeitar à vida da sociedade, não é o exercício de um direito social (dos sócios).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lastRenderedPageBreak/>
        <w:t>XI.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mera atribuição da legitimidade aos sócios para se substituírem à sociedade na interposição de uma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contra os administradores não é sequer um direito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subjectivo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mas, se como tal for considerado, é forçoso concluir que tal qualificação se restringe à própria substituição da sociedade pelo sócio no exercício do verdadeiro direito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subjectivo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- o direito à indemnização - e não contamina este que não se desvirtua, não se altera e não ganha novo titular;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 sendo "social" a possibilidade de um sócio se substituir à sociedade na demanda contra um administrador, já não constitui exercício de direito social a própria demanda em si, nem o direito cujo reconhecimento 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ali se pretende, pois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exprime um direito próprio da sociedade, esperando-se,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ope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legis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a intervenção da sociedade, que assim faz terminar a substituição, passando a assumir a posição na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directamente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sem que alguma vez os efeitos dela emergentes se pudessem fazer sentir na esfera de outro que não ela própria.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XIII.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própria interposição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mecaniza-se por via de uma substituição processual ou, como o qualifica a doutrina e a jurisprudência, como uma verdadeira sub-rogação do sócio na posição de legitimidade da sociedade.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XIV.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Admitindo a impropriedade desta sub-rogação legal, temos de admitir que o sócio que instaure uma tal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o faz na estrita medida do carácter e da natureza daquela que seria a demanda caso houvesse sido a sociedade ela mesma a intentar o procedimento, pelo que é da caracterização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que há que partir, e não o contrário;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XV.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Finalmente, cumpre dizer que as "grandes dificuldades e complexidades" que uma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responsabilidade civil dos gestores das sociedade pode envolver não pode ser critério de atribuição de competência, pois que a competência atribuída ao tribunal de comércio em matéria de sociedades é restrita e abrange apenas as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cujo conhecimento o legislador entendeu que exige preparação técnica específica em sede de direito das sociedades.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XVI.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 nas "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relativas ao exercício de direitos sociais" estão incluídas, dentro do universo heterogéneo de todas as que tenham por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objecto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direitos tipicamente respeitantes ao funcionamento das sociedades, não só as que visam obter a regularidade desse funcionamento, mas também aquelas em que um sócio (ou um credor) exerce contra a sociedade direitos individuais com conteúdo específico de direito societário;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XVII.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Ao contrário do critério que outrora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adoptou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para determinar a competência dos tribunais de comércio (competentes para julgar, em geral, as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provenientes da prática de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actos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comerciais), a nova lei não atribui ao tribunal de comércio competência para julgar todas as questões relacionadas com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actividade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(nem sequer com o funcionamento) das sociedades comerciais.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XVIII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. Pelo que o direito de indemnização da sociedade contra o gerente ou administrador não cabe no enunciado do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89°., n°.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1 ,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XIX.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É, assim, de concluir que a competência para conhecer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responsabilidade contra administradores e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, quer seja movida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quer seja movida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não é do tribunal de comércio, mas sim do tribunal de competência genérica, por via do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.° 77.°,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n°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1,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XX.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 acórdão recorrido viola, assim, os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art.ºs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77.°,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.°1, e 89.°, </w:t>
      </w:r>
      <w:proofErr w:type="spellStart"/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>.°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1, alínea c), da LOFTJ, e encontra-se em contradição com os acórdãos da Relação do Porto, Proc. </w:t>
      </w:r>
      <w:proofErr w:type="spellStart"/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>.°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0756246, de 19.12.2007, in www.dgsi.pt. da Relação do Porto, Proc.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n°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0721243, de 13.05.2008, </w:t>
      </w:r>
      <w:r w:rsidRPr="00B2125A">
        <w:rPr>
          <w:rFonts w:ascii="Times New Roman" w:eastAsia="Times New Roman" w:hAnsi="Times New Roman"/>
          <w:sz w:val="22"/>
          <w:lang w:eastAsia="pt-PT"/>
        </w:rPr>
        <w:lastRenderedPageBreak/>
        <w:t xml:space="preserve">www.dgsi.pt. da Relação de Évora, Proc. </w:t>
      </w:r>
      <w:proofErr w:type="spellStart"/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n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>.°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2777/07, de 28.02.2008, in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Colectânea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Jurisprudência, e da Relação de Lisboa, Proc. 132/09, de 20.10.2009, in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Colectânea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Jurisprudência,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XXI.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 presente recurso deve, pois, merecer provimento e, em consequência, ser revogado o acórdão recorrido, ordenando-se o prosseguimento dos autos.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Não foram apresentadas contra-alegações.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Corridos os vistos legais cumpre decidir.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A questão posta no recurso é a de saber se compete aos Tribunais de Comércio o julgamento da 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intentada pela sociedade contra os seus ex-administradores, responsabilizando-os pelos prejuízos que sofreu em consequência da violação dos seus deveres de diligência (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. 64º, CSC).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As leis de organização judiciária determinam quais as causas que, em razão da matéria, são da competência dos tribunais judiciais dotados de competência especializada (art.º 67.º do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C.P.Civil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Neste enquadramento dispõe o art.º 18.º, n.º 1 e 2, da L.O.F.T.J. (Lei 3/99, de 13.01) que são da competência dos tribunais judiciais as causas que não sejam atribuídas a outra ordem jurisdicional, determinando ainda aquele diploma legal a competência em razão da matéria entre os tribunais judiciais e estabelecendo as causas que competem aos tribunais de competência específica, competindo aos tribunais de competência genérica preparar e julgar os processos relativos a causas não atribuídas a outro tribunal (art.º 77.º, n.º 1, al. a), da Lei 3/99, de 13.01).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regra geral a atender que sobressai destes preceitos legais é, assim, a de que a competência em razão da matéria só deixa de pertencer aos tribunais de competência genérica se tal competência for atribuída a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certo e determinado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tribunal de competência específica, convenientemente assinalado na L.O.F.T.J.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O Tribunal de Comércio é um Tribunal de competência especializada afirmada no art.º 89.º da Lei de Organização e Funcionamento dos Tribunais Judiciais (Lei n.º 3/99, de 13.01), competindo a este tipo de tribunais, designadamente preparar e julgar as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relativas ao exercício de 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>,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cfr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>. art.º 89.º n.º1, al.ª c), da LOFTJ.</w:t>
      </w:r>
      <w:hyperlink r:id="rId6" w:anchor="_ftn1" w:history="1">
        <w:r w:rsidRPr="00B2125A">
          <w:rPr>
            <w:rFonts w:ascii="Times New Roman" w:eastAsia="Times New Roman" w:hAnsi="Times New Roman"/>
            <w:bCs/>
            <w:sz w:val="22"/>
            <w:u w:val="single"/>
            <w:vertAlign w:val="superscript"/>
            <w:lang w:eastAsia="pt-PT"/>
          </w:rPr>
          <w:t>[1]</w:t>
        </w:r>
      </w:hyperlink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O juízo sobre a competência em razão da matéria assenta no tipo da relação controvertida contextualizada na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tal qual ela é configurada pelo demandante na sua petição inicial.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nossa questão é agora a de saber se a presente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-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intentada pelo</w:t>
      </w:r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“AA, SA” contra os seus ex-administradores, responsabilizando-os pelos prejuízos que sofreu em consequência da violação dos seus deveres de diligência (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. 64º, CSC)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-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se insere no grupo de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relativas ao exercício de 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e, por isso,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há-de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ser julgada pelos tribunais de comércio.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II. 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A lei não explicita nem caracteriza de modo preciso o que deve entender-se por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lastRenderedPageBreak/>
        <w:t xml:space="preserve">A jurisprudência tem-se apoiado na mais influente doutrina para alcançar este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objectivado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conceito</w:t>
      </w:r>
      <w:hyperlink r:id="rId7" w:anchor="_ftn2" w:history="1">
        <w:proofErr w:type="gramStart"/>
        <w:r w:rsidRPr="00B2125A">
          <w:rPr>
            <w:rFonts w:ascii="Times New Roman" w:eastAsia="Times New Roman" w:hAnsi="Times New Roman"/>
            <w:bCs/>
            <w:sz w:val="22"/>
            <w:u w:val="single"/>
            <w:vertAlign w:val="superscript"/>
            <w:lang w:eastAsia="pt-PT"/>
          </w:rPr>
          <w:t>[2</w:t>
        </w:r>
        <w:proofErr w:type="gramEnd"/>
        <w:r w:rsidRPr="00B2125A">
          <w:rPr>
            <w:rFonts w:ascii="Times New Roman" w:eastAsia="Times New Roman" w:hAnsi="Times New Roman"/>
            <w:bCs/>
            <w:sz w:val="22"/>
            <w:u w:val="single"/>
            <w:vertAlign w:val="superscript"/>
            <w:lang w:eastAsia="pt-PT"/>
          </w:rPr>
          <w:t>]</w:t>
        </w:r>
      </w:hyperlink>
      <w:r w:rsidRPr="00B2125A">
        <w:rPr>
          <w:rFonts w:ascii="Times New Roman" w:eastAsia="Times New Roman" w:hAnsi="Times New Roman"/>
          <w:sz w:val="22"/>
          <w:lang w:eastAsia="pt-PT"/>
        </w:rPr>
        <w:t xml:space="preserve">; e é destas materializadas teorizações assim encontradas de que nos vamos igualmente socorrer.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Destes circunstanciados estudos resulta esta nota conclusiva: -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são todas aquelas prerrogativas dirigidas à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protecção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 cada sócio de uma particularizada sociedade, mercê, exclusivamente, da qualidade de sócio que lhes está conferida; são direitos que advêm ao sócio por força do pacto de sociedade conscientemente aceite e neste ambiente contratual exercidos.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O conteúdo do contrato de sociedade é sempre complexo, mais ou menos conforme os tipos e os casos; mesmo sem os aditamentos introduzidos pelas partes, o quadro legal apresenta variedade e complexidade pouco usuais. Na medida em que esse conteúdo se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subjective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em situações dos sócios, não é pacífico o laço entre todas essas situações; em princípio ele pode consistir apenas na titularidade do mesmo sujeito ou origem da mesma fonte, ou pode reconduzir-se a uma unidade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objectiva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, embora complexa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-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Prof. Raul Ventura; </w:t>
      </w:r>
      <w:r w:rsidRPr="00B2125A">
        <w:rPr>
          <w:rFonts w:ascii="Times New Roman" w:eastAsia="Times New Roman" w:hAnsi="Times New Roman"/>
          <w:sz w:val="22"/>
          <w:lang w:eastAsia="pt-PT"/>
        </w:rPr>
        <w:t>Reflexões sobre Direitos dos Sócios; C.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 xml:space="preserve">J 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; Ano </w:t>
      </w:r>
      <w:proofErr w:type="gramStart"/>
      <w:r w:rsidRPr="00B2125A">
        <w:rPr>
          <w:rFonts w:ascii="Times New Roman" w:eastAsia="Times New Roman" w:hAnsi="Times New Roman"/>
          <w:sz w:val="22"/>
          <w:lang w:eastAsia="pt-PT"/>
        </w:rPr>
        <w:t>IX–</w:t>
      </w:r>
      <w:proofErr w:type="gramEnd"/>
      <w:r w:rsidRPr="00B2125A">
        <w:rPr>
          <w:rFonts w:ascii="Times New Roman" w:eastAsia="Times New Roman" w:hAnsi="Times New Roman"/>
          <w:sz w:val="22"/>
          <w:lang w:eastAsia="pt-PT"/>
        </w:rPr>
        <w:t xml:space="preserve"> 1984, Tomo 2.; pág.7.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III.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Através da também chamada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em conjunto, como um todo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)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sz w:val="22"/>
          <w:lang w:eastAsia="pt-PT"/>
        </w:rPr>
        <w:t>o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“AA, SA”, valendo-se do disposto no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art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72º, n.º1 e com a oportunidade conferida pelo art.º 75.º, ambos do CSC, pretende responsabilizar os seus ex-administradores pela violação dos deveres de cuidado e lealdade enunciados no art.º 64.º do CSC, omitidos na gerência da sociedade.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par da própria sociedade podem também os sócios, fazendo uso da igualmente denominada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isoladamente, a título particular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), propor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de responsabilidade contra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administradores, com vista a obterem, a favor da sociedade, a reparação do prejuízo que esta tenha sofrido, quando a mesma o não tenha feito.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Esta última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, posta na disponibilidade de cada um dos sócios de modo a conferir-lhes a possibilidade de, no interesse da sociedade, reivindicar a atinente indemnização aos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 administradores que, no desempenho da gestão, prejudicaram a sociedade, incluiu-se no espaço jurídico-substantivo dos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direitos sociais 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de que fala o art.º 89.º n.º1, al.ª c),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Este juízo que acabamos de fazer sobre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dos sócios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)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, na qual o direito exercido pelos sócios é um direito da sociedade (não próprio) e através da qual se procura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 responsabilidade dos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e/ou administradores perante ela, naturalmente se estende também aos casos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>Na verdade, quando a sociedade se apresenta, ela própria, a demandar os seus ex-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ex-administradores, responsabilizando-os pelo desprezo a que votaram os seus deveres de cuidado e lealdade, não é só em nome próprio que age mas, igualmente, está ela a acautelar, mesmo que reflexamente, o particularizado interesse dos sócios, o fim último de todo o exercício da sua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actividade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comercial.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equiparação entre estas duas situações deduz-se sem violentar as regras da lógica e da razão funcionalmente contextualizadas -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o facto de, beneficiando a sociedade com o desfecho da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em termos patrimoniais, reflexamente beneficiar os seus sócios, não retira que estejam em causa direitos sociais nem desqualifica a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como 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(</w:t>
      </w:r>
      <w:proofErr w:type="spellStart"/>
      <w:r w:rsidRPr="00B2125A">
        <w:rPr>
          <w:rFonts w:ascii="Times New Roman" w:eastAsia="Times New Roman" w:hAnsi="Times New Roman"/>
          <w:bCs/>
          <w:sz w:val="22"/>
          <w:lang w:eastAsia="pt-PT"/>
        </w:rPr>
        <w:t>Ac</w:t>
      </w:r>
      <w:proofErr w:type="spellEnd"/>
      <w:r w:rsidRPr="00B2125A">
        <w:rPr>
          <w:rFonts w:ascii="Times New Roman" w:eastAsia="Times New Roman" w:hAnsi="Times New Roman"/>
          <w:bCs/>
          <w:sz w:val="22"/>
          <w:lang w:eastAsia="pt-PT"/>
        </w:rPr>
        <w:t>. do STJ de 17 de Setembro de 2009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; www.dgsi.pt).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delineada nestes contornos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há-de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ser preparada e julgada nos Tribunais de Comércio.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Concluindo: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lastRenderedPageBreak/>
        <w:t>1.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 Tribunal de Comércio é um Tribunal de competência especializada afirmado no art.º 89.º da Lei de Organização e Funcionamento dos Tribunais Judiciais (Lei n.º 3/99, de 13.01), competindo a este tipo de tribunais preparar e julgar as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 relativas ao exercício de direitos sociais</w:t>
      </w:r>
      <w:r w:rsidRPr="00B2125A">
        <w:rPr>
          <w:rFonts w:ascii="Times New Roman" w:eastAsia="Times New Roman" w:hAnsi="Times New Roman"/>
          <w:sz w:val="22"/>
          <w:lang w:eastAsia="pt-PT"/>
        </w:rPr>
        <w:t>, (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cfr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. art.º 89.º n.º1, al.ª c),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2.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A par da própria sociedade podem também os sócios, fazendo uso da igualmente denominada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isoladamente, a título particular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), propor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de responsabilidade contra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administradores, com vista a obterem, a favor da sociedade, a reparação do prejuízo que esta tenha sofrido, quando a mesma o não tenha feito. Esta última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incluiu-se no espaço jurídico-substantivo dos direitos sociais de que fala o art.º 89.º n.º1, al.ª c), da LOFTJ.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3.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Este juízo que acabamos de fazer sobre 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social dos sócios (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singuli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)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, na qual o direito exercido pelos sócios é um direito da sociedade (não próprio) e através da qual se procura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efectivar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a responsabilidade dos 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e/ou administradores perante ela, naturalmente se estende também aos casos da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acção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ut </w:t>
      </w:r>
      <w:proofErr w:type="spellStart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>universi</w:t>
      </w:r>
      <w:proofErr w:type="spellEnd"/>
      <w:r w:rsidRPr="00B2125A">
        <w:rPr>
          <w:rFonts w:ascii="Times New Roman" w:eastAsia="Times New Roman" w:hAnsi="Times New Roman"/>
          <w:bCs/>
          <w:i/>
          <w:iCs/>
          <w:sz w:val="22"/>
          <w:lang w:eastAsia="pt-PT"/>
        </w:rPr>
        <w:t xml:space="preserve">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bCs/>
          <w:sz w:val="22"/>
          <w:lang w:eastAsia="pt-PT"/>
        </w:rPr>
        <w:t>4.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Na verdade, quando a sociedade se apresenta, ela própria, a demandar os seus ex-</w:t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>gerentes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ou ex-administradores, responsabilizando-os pelo desprezo a que votaram os seus deveres de cuidado e lealdade, não é só em nome próprio que age mas, igualmente, está ela a acautelar, mesmo que reflexamente, o particularizado interesse dos sócios, o fim último de todo o exercício da sua </w:t>
      </w:r>
      <w:proofErr w:type="spellStart"/>
      <w:r w:rsidRPr="00B2125A">
        <w:rPr>
          <w:rFonts w:ascii="Times New Roman" w:eastAsia="Times New Roman" w:hAnsi="Times New Roman"/>
          <w:sz w:val="22"/>
          <w:lang w:eastAsia="pt-PT"/>
        </w:rPr>
        <w:t>actividade</w:t>
      </w:r>
      <w:proofErr w:type="spellEnd"/>
      <w:r w:rsidRPr="00B2125A">
        <w:rPr>
          <w:rFonts w:ascii="Times New Roman" w:eastAsia="Times New Roman" w:hAnsi="Times New Roman"/>
          <w:sz w:val="22"/>
          <w:lang w:eastAsia="pt-PT"/>
        </w:rPr>
        <w:t xml:space="preserve"> comercial.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>Pelo exposto, nega-se a revista e confirma-se o acórdão recorrido.</w:t>
      </w:r>
      <w:r w:rsidRPr="00B2125A">
        <w:rPr>
          <w:rFonts w:ascii="Times New Roman" w:eastAsia="Times New Roman" w:hAnsi="Times New Roman"/>
          <w:sz w:val="22"/>
          <w:lang w:eastAsia="pt-PT"/>
        </w:rPr>
        <w:br/>
      </w:r>
      <w:r w:rsidRPr="00B2125A">
        <w:rPr>
          <w:rFonts w:ascii="Times New Roman" w:eastAsia="Times New Roman" w:hAnsi="Times New Roman"/>
          <w:sz w:val="22"/>
          <w:lang w:eastAsia="pt-PT"/>
        </w:rPr>
        <w:br/>
        <w:t xml:space="preserve">Custas pela recorrente.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br/>
      </w:r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Supremo Tribunal de Justiça, 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15 de Setembro de 2011.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Silva Gonçalves (Relator)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 xml:space="preserve">Pires da Rosa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t>Prazeres Beleza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br/>
        <w:t xml:space="preserve">______________________ </w:t>
      </w:r>
    </w:p>
    <w:p w:rsidR="000E78B5" w:rsidRPr="00B2125A" w:rsidRDefault="000E78B5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r w:rsidRPr="00B2125A">
        <w:rPr>
          <w:rFonts w:ascii="Times New Roman" w:eastAsia="Times New Roman" w:hAnsi="Times New Roman"/>
          <w:sz w:val="22"/>
          <w:lang w:eastAsia="pt-PT"/>
        </w:rPr>
        <w:br/>
      </w:r>
      <w:hyperlink r:id="rId8" w:anchor="_ftnref1" w:history="1">
        <w:r w:rsidRPr="00B2125A">
          <w:rPr>
            <w:rFonts w:ascii="Times New Roman" w:eastAsia="Times New Roman" w:hAnsi="Times New Roman"/>
            <w:bCs/>
            <w:sz w:val="22"/>
            <w:u w:val="single"/>
            <w:vertAlign w:val="superscript"/>
            <w:lang w:eastAsia="pt-PT"/>
          </w:rPr>
          <w:t>[1]</w:t>
        </w:r>
      </w:hyperlink>
      <w:r w:rsidRPr="00B2125A">
        <w:rPr>
          <w:rFonts w:ascii="Times New Roman" w:eastAsia="Times New Roman" w:hAnsi="Times New Roman"/>
          <w:bCs/>
          <w:sz w:val="22"/>
          <w:lang w:eastAsia="pt-PT"/>
        </w:rPr>
        <w:t xml:space="preserve"> </w:t>
      </w:r>
      <w:r w:rsidRPr="00B2125A">
        <w:rPr>
          <w:rFonts w:ascii="Times New Roman" w:eastAsia="Times New Roman" w:hAnsi="Times New Roman"/>
          <w:sz w:val="22"/>
          <w:lang w:eastAsia="pt-PT"/>
        </w:rPr>
        <w:t>Artigo 89.º (Competência).</w:t>
      </w:r>
      <w:r w:rsidRPr="00B2125A">
        <w:rPr>
          <w:rFonts w:ascii="Times New Roman" w:eastAsia="Times New Roman" w:hAnsi="Times New Roman"/>
          <w:sz w:val="22"/>
          <w:lang w:eastAsia="pt-PT"/>
        </w:rPr>
        <w:br/>
        <w:t>1 -</w:t>
      </w:r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 Compete aos tribunais de comércio preparar e julgar:</w:t>
      </w:r>
      <w:r w:rsidRPr="00B2125A">
        <w:rPr>
          <w:rFonts w:ascii="Times New Roman" w:eastAsia="Times New Roman" w:hAnsi="Times New Roman"/>
          <w:sz w:val="22"/>
          <w:lang w:eastAsia="pt-PT"/>
        </w:rPr>
        <w:br/>
      </w:r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c) As </w:t>
      </w:r>
      <w:proofErr w:type="spellStart"/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>acções</w:t>
      </w:r>
      <w:proofErr w:type="spellEnd"/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 relativas ao exercício de direitos sociais;</w:t>
      </w:r>
      <w:r w:rsidRPr="00B2125A">
        <w:rPr>
          <w:rFonts w:ascii="Times New Roman" w:eastAsia="Times New Roman" w:hAnsi="Times New Roman"/>
          <w:sz w:val="22"/>
          <w:lang w:eastAsia="pt-PT"/>
        </w:rPr>
        <w:br/>
        <w:t>3</w:t>
      </w:r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 - A competência a que se refere o n.º 1 abrange os </w:t>
      </w:r>
      <w:proofErr w:type="spellStart"/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>respectivos</w:t>
      </w:r>
      <w:proofErr w:type="spellEnd"/>
      <w:r w:rsidRPr="00B2125A">
        <w:rPr>
          <w:rFonts w:ascii="Times New Roman" w:eastAsia="Times New Roman" w:hAnsi="Times New Roman"/>
          <w:i/>
          <w:iCs/>
          <w:sz w:val="22"/>
          <w:lang w:eastAsia="pt-PT"/>
        </w:rPr>
        <w:t xml:space="preserve"> incidentes e apensos.</w:t>
      </w:r>
      <w:r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</w:p>
    <w:p w:rsidR="000E78B5" w:rsidRPr="00B2125A" w:rsidRDefault="00D8448B" w:rsidP="00B2125A">
      <w:pPr>
        <w:tabs>
          <w:tab w:val="clear" w:pos="1418"/>
          <w:tab w:val="left" w:pos="28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  <w:hyperlink r:id="rId9" w:anchor="_ftnref2" w:history="1">
        <w:r w:rsidR="000E78B5" w:rsidRPr="00B2125A">
          <w:rPr>
            <w:rFonts w:ascii="Times New Roman" w:eastAsia="Times New Roman" w:hAnsi="Times New Roman"/>
            <w:sz w:val="22"/>
            <w:u w:val="single"/>
            <w:vertAlign w:val="superscript"/>
            <w:lang w:eastAsia="pt-PT"/>
          </w:rPr>
          <w:t>[2]</w:t>
        </w:r>
      </w:hyperlink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>Ferrer Correia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</w:t>
      </w:r>
      <w:r w:rsidR="000E78B5" w:rsidRPr="00B2125A">
        <w:rPr>
          <w:rFonts w:ascii="Times New Roman" w:eastAsia="Times New Roman" w:hAnsi="Times New Roman"/>
          <w:i/>
          <w:iCs/>
          <w:sz w:val="22"/>
          <w:lang w:eastAsia="pt-PT"/>
        </w:rPr>
        <w:t>Sociedades Comerciais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(policopiado), p. 348 e </w:t>
      </w:r>
      <w:proofErr w:type="spellStart"/>
      <w:r w:rsidR="000E78B5" w:rsidRPr="00B2125A">
        <w:rPr>
          <w:rFonts w:ascii="Times New Roman" w:eastAsia="Times New Roman" w:hAnsi="Times New Roman"/>
          <w:sz w:val="22"/>
          <w:lang w:eastAsia="pt-PT"/>
        </w:rPr>
        <w:t>segs</w:t>
      </w:r>
      <w:proofErr w:type="spellEnd"/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.; </w:t>
      </w:r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>Brito Correia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</w:t>
      </w:r>
      <w:r w:rsidR="000E78B5" w:rsidRPr="00B2125A">
        <w:rPr>
          <w:rFonts w:ascii="Times New Roman" w:eastAsia="Times New Roman" w:hAnsi="Times New Roman"/>
          <w:i/>
          <w:iCs/>
          <w:sz w:val="22"/>
          <w:lang w:eastAsia="pt-PT"/>
        </w:rPr>
        <w:t>Direito Comercial, Sociedades Comerciais, vol. II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4.ª, p. 305 e </w:t>
      </w:r>
      <w:proofErr w:type="spellStart"/>
      <w:r w:rsidR="000E78B5" w:rsidRPr="00B2125A">
        <w:rPr>
          <w:rFonts w:ascii="Times New Roman" w:eastAsia="Times New Roman" w:hAnsi="Times New Roman"/>
          <w:sz w:val="22"/>
          <w:lang w:eastAsia="pt-PT"/>
        </w:rPr>
        <w:t>segs</w:t>
      </w:r>
      <w:proofErr w:type="spellEnd"/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.; </w:t>
      </w:r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>Pupo Correia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</w:t>
      </w:r>
      <w:r w:rsidR="000E78B5" w:rsidRPr="00B2125A">
        <w:rPr>
          <w:rFonts w:ascii="Times New Roman" w:eastAsia="Times New Roman" w:hAnsi="Times New Roman"/>
          <w:i/>
          <w:iCs/>
          <w:sz w:val="22"/>
          <w:lang w:eastAsia="pt-PT"/>
        </w:rPr>
        <w:t>Direito Comercial,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7.ª ed., p. 517; </w:t>
      </w:r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>Coutinho de Abreu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</w:t>
      </w:r>
      <w:r w:rsidR="000E78B5" w:rsidRPr="00B2125A">
        <w:rPr>
          <w:rFonts w:ascii="Times New Roman" w:eastAsia="Times New Roman" w:hAnsi="Times New Roman"/>
          <w:i/>
          <w:iCs/>
          <w:sz w:val="22"/>
          <w:lang w:eastAsia="pt-PT"/>
        </w:rPr>
        <w:t>Curso de Direito Comercial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vol. II, Das Sociedades, p. 205 e </w:t>
      </w:r>
      <w:proofErr w:type="spellStart"/>
      <w:proofErr w:type="gramStart"/>
      <w:r w:rsidR="000E78B5" w:rsidRPr="00B2125A">
        <w:rPr>
          <w:rFonts w:ascii="Times New Roman" w:eastAsia="Times New Roman" w:hAnsi="Times New Roman"/>
          <w:sz w:val="22"/>
          <w:lang w:eastAsia="pt-PT"/>
        </w:rPr>
        <w:t>segs</w:t>
      </w:r>
      <w:proofErr w:type="spellEnd"/>
      <w:r w:rsidR="000E78B5" w:rsidRPr="00B2125A">
        <w:rPr>
          <w:rFonts w:ascii="Times New Roman" w:eastAsia="Times New Roman" w:hAnsi="Times New Roman"/>
          <w:sz w:val="22"/>
          <w:lang w:eastAsia="pt-PT"/>
        </w:rPr>
        <w:t>.;</w:t>
      </w:r>
      <w:proofErr w:type="gramEnd"/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</w:t>
      </w:r>
      <w:proofErr w:type="gramStart"/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>Paulo Olavo</w:t>
      </w:r>
      <w:proofErr w:type="gramEnd"/>
      <w:r w:rsidR="000E78B5" w:rsidRPr="00B2125A">
        <w:rPr>
          <w:rFonts w:ascii="Times New Roman" w:eastAsia="Times New Roman" w:hAnsi="Times New Roman"/>
          <w:sz w:val="22"/>
          <w:u w:val="single"/>
          <w:lang w:eastAsia="pt-PT"/>
        </w:rPr>
        <w:t xml:space="preserve"> e Cunha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– in “</w:t>
      </w:r>
      <w:r w:rsidR="000E78B5" w:rsidRPr="00B2125A">
        <w:rPr>
          <w:rFonts w:ascii="Times New Roman" w:eastAsia="Times New Roman" w:hAnsi="Times New Roman"/>
          <w:i/>
          <w:iCs/>
          <w:sz w:val="22"/>
          <w:lang w:eastAsia="pt-PT"/>
        </w:rPr>
        <w:t>Breve Nota sobre os Direitos dos Sócios (das sociedades responsabilidade limitada) no âmbito do Código das Sociedades Comerciais”</w:t>
      </w:r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, in Novas </w:t>
      </w:r>
      <w:proofErr w:type="spellStart"/>
      <w:r w:rsidR="000E78B5" w:rsidRPr="00B2125A">
        <w:rPr>
          <w:rFonts w:ascii="Times New Roman" w:eastAsia="Times New Roman" w:hAnsi="Times New Roman"/>
          <w:sz w:val="22"/>
          <w:lang w:eastAsia="pt-PT"/>
        </w:rPr>
        <w:t>Perspectivas</w:t>
      </w:r>
      <w:proofErr w:type="spellEnd"/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 do Direito Comercial, citados no </w:t>
      </w:r>
      <w:proofErr w:type="spellStart"/>
      <w:r w:rsidR="000E78B5" w:rsidRPr="00B2125A">
        <w:rPr>
          <w:rFonts w:ascii="Times New Roman" w:eastAsia="Times New Roman" w:hAnsi="Times New Roman"/>
          <w:sz w:val="22"/>
          <w:lang w:eastAsia="pt-PT"/>
        </w:rPr>
        <w:t>Ac</w:t>
      </w:r>
      <w:proofErr w:type="spellEnd"/>
      <w:r w:rsidR="000E78B5" w:rsidRPr="00B2125A">
        <w:rPr>
          <w:rFonts w:ascii="Times New Roman" w:eastAsia="Times New Roman" w:hAnsi="Times New Roman"/>
          <w:sz w:val="22"/>
          <w:lang w:eastAsia="pt-PT"/>
        </w:rPr>
        <w:t xml:space="preserve">. deste STJ de 11 de Janeiro de 2011; www.dgsi.pt. </w:t>
      </w:r>
    </w:p>
    <w:p w:rsidR="000E78B5" w:rsidRPr="00B2125A" w:rsidRDefault="000E78B5" w:rsidP="00B2125A">
      <w:pPr>
        <w:tabs>
          <w:tab w:val="clear" w:pos="1418"/>
          <w:tab w:val="left" w:pos="284"/>
          <w:tab w:val="left" w:pos="5534"/>
        </w:tabs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/>
          <w:sz w:val="22"/>
          <w:lang w:eastAsia="pt-PT"/>
        </w:rPr>
      </w:pPr>
    </w:p>
    <w:p w:rsidR="00D21844" w:rsidRPr="00B2125A" w:rsidRDefault="00D21844" w:rsidP="00B2125A">
      <w:pPr>
        <w:tabs>
          <w:tab w:val="left" w:pos="284"/>
        </w:tabs>
        <w:rPr>
          <w:rFonts w:ascii="Times New Roman" w:hAnsi="Times New Roman"/>
          <w:sz w:val="22"/>
        </w:rPr>
      </w:pPr>
    </w:p>
    <w:sectPr w:rsidR="00D21844" w:rsidRPr="00B2125A" w:rsidSect="005952D6">
      <w:pgSz w:w="11906" w:h="16838" w:code="9"/>
      <w:pgMar w:top="1417" w:right="1701" w:bottom="1417" w:left="170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6B3"/>
    <w:multiLevelType w:val="multilevel"/>
    <w:tmpl w:val="1DACC1B0"/>
    <w:lvl w:ilvl="0">
      <w:start w:val="1"/>
      <w:numFmt w:val="decimal"/>
      <w:pStyle w:val="sintes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F26CFC"/>
    <w:multiLevelType w:val="multilevel"/>
    <w:tmpl w:val="01AA296A"/>
    <w:lvl w:ilvl="0">
      <w:start w:val="1"/>
      <w:numFmt w:val="decimal"/>
      <w:pStyle w:val="textocapitulo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pStyle w:val="item1"/>
      <w:isLgl/>
      <w:lvlText w:val="%1.%2."/>
      <w:lvlJc w:val="left"/>
      <w:pPr>
        <w:ind w:left="185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78B5"/>
    <w:rsid w:val="00003EBC"/>
    <w:rsid w:val="000A5BC9"/>
    <w:rsid w:val="000E78B5"/>
    <w:rsid w:val="00104104"/>
    <w:rsid w:val="001140A6"/>
    <w:rsid w:val="00135D26"/>
    <w:rsid w:val="001A3F43"/>
    <w:rsid w:val="001E6163"/>
    <w:rsid w:val="002723D1"/>
    <w:rsid w:val="00287696"/>
    <w:rsid w:val="002F65EA"/>
    <w:rsid w:val="00453F8A"/>
    <w:rsid w:val="004578CA"/>
    <w:rsid w:val="004C6A8C"/>
    <w:rsid w:val="0057012A"/>
    <w:rsid w:val="005952D6"/>
    <w:rsid w:val="00622FF1"/>
    <w:rsid w:val="00626C94"/>
    <w:rsid w:val="007443F6"/>
    <w:rsid w:val="007E2B86"/>
    <w:rsid w:val="0081018E"/>
    <w:rsid w:val="00885602"/>
    <w:rsid w:val="00A23FB8"/>
    <w:rsid w:val="00A34F62"/>
    <w:rsid w:val="00A5029E"/>
    <w:rsid w:val="00A55A72"/>
    <w:rsid w:val="00A863A9"/>
    <w:rsid w:val="00AC0F98"/>
    <w:rsid w:val="00B12D84"/>
    <w:rsid w:val="00B2125A"/>
    <w:rsid w:val="00BC7044"/>
    <w:rsid w:val="00C5763D"/>
    <w:rsid w:val="00C977F0"/>
    <w:rsid w:val="00D21844"/>
    <w:rsid w:val="00D8448B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38E8C-DE62-47A1-B21D-10F288AA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86"/>
    <w:pPr>
      <w:tabs>
        <w:tab w:val="left" w:pos="1418"/>
      </w:tabs>
      <w:spacing w:line="360" w:lineRule="auto"/>
    </w:pPr>
    <w:rPr>
      <w:rFonts w:ascii="Arial Narrow" w:hAnsi="Arial Narrow" w:cs="Times New Roman"/>
      <w:sz w:val="24"/>
    </w:rPr>
  </w:style>
  <w:style w:type="paragraph" w:styleId="Cabealho1">
    <w:name w:val="heading 1"/>
    <w:basedOn w:val="Normal"/>
    <w:next w:val="Normal"/>
    <w:link w:val="Cabealho1Carter"/>
    <w:uiPriority w:val="9"/>
    <w:rsid w:val="00FA7C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A7C50"/>
    <w:pPr>
      <w:spacing w:before="280"/>
      <w:outlineLvl w:val="3"/>
    </w:pPr>
    <w:rPr>
      <w:rFonts w:ascii="Cambria" w:eastAsia="Times New Roman" w:hAnsi="Cambria"/>
      <w:b/>
      <w:bCs/>
      <w:i/>
      <w:iCs/>
      <w:szCs w:val="24"/>
      <w:lang w:bidi="en-US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FA7C50"/>
    <w:pPr>
      <w:spacing w:before="280"/>
      <w:outlineLvl w:val="4"/>
    </w:pPr>
    <w:rPr>
      <w:rFonts w:ascii="Cambria" w:eastAsia="Times New Roman" w:hAnsi="Cambria"/>
      <w:b/>
      <w:bCs/>
      <w:i/>
      <w:iCs/>
      <w:lang w:bidi="en-US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FA7C50"/>
    <w:pPr>
      <w:spacing w:before="280" w:after="80"/>
      <w:outlineLvl w:val="5"/>
    </w:pPr>
    <w:rPr>
      <w:rFonts w:ascii="Cambria" w:eastAsia="Times New Roman" w:hAnsi="Cambria"/>
      <w:b/>
      <w:bCs/>
      <w:i/>
      <w:iCs/>
      <w:lang w:bidi="en-US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FA7C50"/>
    <w:pPr>
      <w:spacing w:before="280"/>
      <w:outlineLvl w:val="6"/>
    </w:pPr>
    <w:rPr>
      <w:rFonts w:ascii="Cambria" w:eastAsia="Times New Roman" w:hAnsi="Cambria"/>
      <w:b/>
      <w:bCs/>
      <w:i/>
      <w:iCs/>
      <w:sz w:val="20"/>
      <w:szCs w:val="20"/>
      <w:lang w:bidi="en-US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FA7C50"/>
    <w:pPr>
      <w:spacing w:before="280"/>
      <w:outlineLvl w:val="7"/>
    </w:pPr>
    <w:rPr>
      <w:rFonts w:ascii="Cambria" w:eastAsia="Times New Roman" w:hAnsi="Cambria"/>
      <w:b/>
      <w:bCs/>
      <w:i/>
      <w:iCs/>
      <w:sz w:val="18"/>
      <w:szCs w:val="18"/>
      <w:lang w:bidi="en-US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FA7C50"/>
    <w:pPr>
      <w:spacing w:before="280"/>
      <w:outlineLvl w:val="8"/>
    </w:pPr>
    <w:rPr>
      <w:rFonts w:ascii="Cambria" w:eastAsia="Times New Roman" w:hAnsi="Cambria"/>
      <w:i/>
      <w:iCs/>
      <w:sz w:val="18"/>
      <w:szCs w:val="18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FA7C50"/>
    <w:pPr>
      <w:tabs>
        <w:tab w:val="left" w:pos="4252"/>
      </w:tabs>
    </w:p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A7C50"/>
    <w:rPr>
      <w:rFonts w:ascii="Cambria" w:eastAsia="Times New Roman" w:hAnsi="Cambria" w:cs="Times New Roman"/>
      <w:b/>
      <w:bCs/>
      <w:i/>
      <w:iCs/>
      <w:sz w:val="24"/>
      <w:szCs w:val="24"/>
      <w:lang w:val="en-US" w:bidi="en-US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FA7C50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FA7C50"/>
    <w:rPr>
      <w:rFonts w:ascii="Cambria" w:eastAsia="Times New Roman" w:hAnsi="Cambria" w:cs="Times New Roman"/>
      <w:b/>
      <w:bCs/>
      <w:i/>
      <w:iCs/>
      <w:lang w:val="en-US" w:bidi="en-US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FA7C50"/>
    <w:rPr>
      <w:rFonts w:ascii="Cambria" w:eastAsia="Times New Roman" w:hAnsi="Cambria" w:cs="Times New Roman"/>
      <w:b/>
      <w:bCs/>
      <w:i/>
      <w:iCs/>
      <w:sz w:val="20"/>
      <w:szCs w:val="20"/>
      <w:lang w:val="en-US" w:bidi="en-US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FA7C50"/>
    <w:rPr>
      <w:rFonts w:ascii="Cambria" w:eastAsia="Times New Roman" w:hAnsi="Cambria" w:cs="Times New Roman"/>
      <w:b/>
      <w:bCs/>
      <w:i/>
      <w:iCs/>
      <w:sz w:val="18"/>
      <w:szCs w:val="18"/>
      <w:lang w:val="en-US" w:bidi="en-US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FA7C50"/>
    <w:rPr>
      <w:rFonts w:ascii="Cambria" w:eastAsia="Times New Roman" w:hAnsi="Cambria" w:cs="Times New Roman"/>
      <w:i/>
      <w:iCs/>
      <w:sz w:val="18"/>
      <w:szCs w:val="18"/>
      <w:lang w:val="en-US" w:bidi="en-US"/>
    </w:rPr>
  </w:style>
  <w:style w:type="paragraph" w:styleId="ndice1">
    <w:name w:val="toc 1"/>
    <w:basedOn w:val="Normal"/>
    <w:next w:val="Normal"/>
    <w:uiPriority w:val="39"/>
    <w:unhideWhenUsed/>
    <w:qFormat/>
    <w:rsid w:val="00FA7C50"/>
    <w:pPr>
      <w:spacing w:before="240" w:after="120"/>
      <w:jc w:val="left"/>
    </w:pPr>
    <w:rPr>
      <w:rFonts w:ascii="Palatino" w:hAnsi="Palatino"/>
      <w:b/>
      <w:bCs/>
      <w:szCs w:val="20"/>
    </w:rPr>
  </w:style>
  <w:style w:type="paragraph" w:styleId="ndice2">
    <w:name w:val="toc 2"/>
    <w:basedOn w:val="Normal"/>
    <w:next w:val="Normal"/>
    <w:uiPriority w:val="39"/>
    <w:unhideWhenUsed/>
    <w:qFormat/>
    <w:rsid w:val="00FA7C50"/>
    <w:pPr>
      <w:spacing w:before="120"/>
      <w:ind w:left="220"/>
      <w:jc w:val="left"/>
    </w:pPr>
    <w:rPr>
      <w:rFonts w:ascii="Palatino" w:hAnsi="Palatino"/>
      <w:b/>
      <w:iCs/>
      <w:szCs w:val="20"/>
    </w:rPr>
  </w:style>
  <w:style w:type="paragraph" w:styleId="ndice3">
    <w:name w:val="toc 3"/>
    <w:basedOn w:val="Normal"/>
    <w:next w:val="Normal"/>
    <w:uiPriority w:val="39"/>
    <w:unhideWhenUsed/>
    <w:qFormat/>
    <w:rsid w:val="00FA7C50"/>
    <w:pPr>
      <w:ind w:left="440"/>
      <w:jc w:val="left"/>
    </w:pPr>
    <w:rPr>
      <w:rFonts w:ascii="Palatino" w:hAnsi="Palatino"/>
      <w:i/>
      <w:szCs w:val="20"/>
    </w:rPr>
  </w:style>
  <w:style w:type="paragraph" w:styleId="Textodenotaderodap">
    <w:name w:val="footnote text"/>
    <w:basedOn w:val="Normal"/>
    <w:link w:val="TextodenotaderodapCarter"/>
    <w:autoRedefine/>
    <w:qFormat/>
    <w:rsid w:val="00A23FB8"/>
    <w:pPr>
      <w:tabs>
        <w:tab w:val="left" w:pos="709"/>
      </w:tabs>
      <w:spacing w:before="120" w:line="240" w:lineRule="auto"/>
    </w:pPr>
    <w:rPr>
      <w:rFonts w:eastAsia="Times New Roman"/>
      <w:iCs/>
      <w:spacing w:val="4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A23FB8"/>
    <w:rPr>
      <w:rFonts w:ascii="Arial Narrow" w:eastAsia="Times New Roman" w:hAnsi="Arial Narrow" w:cs="Times New Roman"/>
      <w:iCs/>
      <w:spacing w:val="4"/>
      <w:sz w:val="20"/>
      <w:szCs w:val="20"/>
      <w:lang w:eastAsia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A7C50"/>
    <w:rPr>
      <w:rFonts w:eastAsia="Times New Roman"/>
      <w:b/>
      <w:bCs/>
      <w:sz w:val="18"/>
      <w:szCs w:val="18"/>
      <w:lang w:bidi="en-US"/>
    </w:rPr>
  </w:style>
  <w:style w:type="character" w:styleId="Refdenotaderodap">
    <w:name w:val="footnote reference"/>
    <w:basedOn w:val="Tipodeletrapredefinidodopargrafo"/>
    <w:semiHidden/>
    <w:qFormat/>
    <w:rsid w:val="00FA7C50"/>
    <w:rPr>
      <w:rFonts w:ascii="Book Antiqua" w:hAnsi="Book Antiqua"/>
      <w:iCs/>
      <w:sz w:val="22"/>
      <w:szCs w:val="20"/>
      <w:vertAlign w:val="superscript"/>
    </w:rPr>
  </w:style>
  <w:style w:type="paragraph" w:styleId="SemEspaamento">
    <w:name w:val="No Spacing"/>
    <w:link w:val="SemEspaamentoCarter"/>
    <w:uiPriority w:val="1"/>
    <w:qFormat/>
    <w:rsid w:val="00FA7C50"/>
    <w:pPr>
      <w:tabs>
        <w:tab w:val="center" w:pos="4252"/>
        <w:tab w:val="right" w:pos="8504"/>
      </w:tabs>
    </w:pPr>
    <w:rPr>
      <w:rFonts w:ascii="Calibri" w:hAnsi="Calibri" w:cs="Times New Roman"/>
      <w:lang w:val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FA7C50"/>
    <w:rPr>
      <w:rFonts w:ascii="Calibri" w:hAnsi="Calibri" w:cs="Times New Roman"/>
      <w:lang w:val="en-US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FA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FA7C50"/>
    <w:pPr>
      <w:keepNext w:val="0"/>
      <w:keepLines w:val="0"/>
      <w:spacing w:before="600"/>
      <w:outlineLvl w:val="9"/>
    </w:pPr>
    <w:rPr>
      <w:rFonts w:ascii="Cambria" w:eastAsia="Times New Roman" w:hAnsi="Cambria" w:cs="Times New Roman"/>
      <w:i/>
      <w:iCs/>
      <w:color w:val="auto"/>
      <w:sz w:val="32"/>
      <w:szCs w:val="32"/>
      <w:lang w:bidi="en-US"/>
    </w:rPr>
  </w:style>
  <w:style w:type="paragraph" w:customStyle="1" w:styleId="textoabreviaturas">
    <w:name w:val="texto abreviaturas"/>
    <w:basedOn w:val="Normal"/>
    <w:link w:val="textoabreviaturasCarcter"/>
    <w:autoRedefine/>
    <w:qFormat/>
    <w:rsid w:val="00FA7C50"/>
    <w:pPr>
      <w:tabs>
        <w:tab w:val="left" w:pos="709"/>
      </w:tabs>
      <w:spacing w:before="60"/>
      <w:jc w:val="center"/>
    </w:pPr>
    <w:rPr>
      <w:rFonts w:ascii="Book Antiqua" w:eastAsia="Times New Roman" w:hAnsi="Book Antiqua"/>
      <w:szCs w:val="28"/>
      <w:lang w:bidi="en-US"/>
    </w:rPr>
  </w:style>
  <w:style w:type="character" w:customStyle="1" w:styleId="textoabreviaturasCarcter">
    <w:name w:val="texto abreviaturas Carácter"/>
    <w:basedOn w:val="Tipodeletrapredefinidodopargrafo"/>
    <w:link w:val="textoabreviaturas"/>
    <w:rsid w:val="00FA7C50"/>
    <w:rPr>
      <w:rFonts w:ascii="Book Antiqua" w:eastAsia="Times New Roman" w:hAnsi="Book Antiqua" w:cs="Times New Roman"/>
      <w:szCs w:val="28"/>
      <w:lang w:bidi="en-US"/>
    </w:rPr>
  </w:style>
  <w:style w:type="paragraph" w:customStyle="1" w:styleId="textotese">
    <w:name w:val="texto tese"/>
    <w:basedOn w:val="Normal"/>
    <w:link w:val="textoteseCarcter"/>
    <w:qFormat/>
    <w:rsid w:val="00FA7C50"/>
    <w:pPr>
      <w:tabs>
        <w:tab w:val="left" w:pos="709"/>
      </w:tabs>
      <w:spacing w:line="336" w:lineRule="auto"/>
      <w:ind w:firstLine="851"/>
    </w:pPr>
    <w:rPr>
      <w:rFonts w:ascii="Palatino" w:hAnsi="Palatino"/>
      <w:spacing w:val="4"/>
      <w:sz w:val="25"/>
    </w:rPr>
  </w:style>
  <w:style w:type="character" w:customStyle="1" w:styleId="textoteseCarcter">
    <w:name w:val="texto tese Carácter"/>
    <w:basedOn w:val="Tipodeletrapredefinidodopargrafo"/>
    <w:link w:val="textotese"/>
    <w:rsid w:val="00FA7C50"/>
    <w:rPr>
      <w:rFonts w:ascii="Palatino" w:hAnsi="Palatino" w:cs="Times New Roman"/>
      <w:spacing w:val="4"/>
      <w:sz w:val="25"/>
      <w:lang w:val="en-US"/>
    </w:rPr>
  </w:style>
  <w:style w:type="character" w:customStyle="1" w:styleId="ttulo1">
    <w:name w:val="título 1"/>
    <w:basedOn w:val="Tipodeletrapredefinidodopargrafo"/>
    <w:qFormat/>
    <w:rsid w:val="00FA7C50"/>
    <w:rPr>
      <w:b/>
    </w:rPr>
  </w:style>
  <w:style w:type="character" w:customStyle="1" w:styleId="ttulo2">
    <w:name w:val="título 2"/>
    <w:basedOn w:val="Tipodeletrapredefinidodopargrafo"/>
    <w:qFormat/>
    <w:rsid w:val="00FA7C50"/>
    <w:rPr>
      <w:b/>
    </w:rPr>
  </w:style>
  <w:style w:type="paragraph" w:customStyle="1" w:styleId="Ttulo12">
    <w:name w:val="Título 1.2"/>
    <w:basedOn w:val="textotese"/>
    <w:link w:val="Ttulo12Carcter"/>
    <w:qFormat/>
    <w:rsid w:val="00FA7C50"/>
    <w:pPr>
      <w:tabs>
        <w:tab w:val="clear" w:pos="709"/>
        <w:tab w:val="left" w:pos="851"/>
      </w:tabs>
      <w:ind w:left="357"/>
      <w:contextualSpacing/>
    </w:pPr>
    <w:rPr>
      <w:rFonts w:eastAsia="Times New Roman"/>
      <w:i/>
    </w:rPr>
  </w:style>
  <w:style w:type="character" w:customStyle="1" w:styleId="Ttulo12Carcter">
    <w:name w:val="Título 1.2 Carácter"/>
    <w:basedOn w:val="textoteseCarcter"/>
    <w:link w:val="Ttulo12"/>
    <w:rsid w:val="00FA7C50"/>
    <w:rPr>
      <w:rFonts w:ascii="Palatino" w:eastAsia="Times New Roman" w:hAnsi="Palatino" w:cs="Times New Roman"/>
      <w:i/>
      <w:spacing w:val="4"/>
      <w:sz w:val="25"/>
      <w:lang w:val="en-US"/>
    </w:rPr>
  </w:style>
  <w:style w:type="character" w:customStyle="1" w:styleId="Ttulo111">
    <w:name w:val="Título 1.1.1."/>
    <w:basedOn w:val="Tipodeletrapredefinidodopargrafo"/>
    <w:qFormat/>
    <w:rsid w:val="00FA7C50"/>
    <w:rPr>
      <w:sz w:val="24"/>
    </w:rPr>
  </w:style>
  <w:style w:type="paragraph" w:customStyle="1" w:styleId="capitulotese">
    <w:name w:val="capitulo tese"/>
    <w:basedOn w:val="textotese"/>
    <w:next w:val="textotese"/>
    <w:link w:val="capituloteseCarcter"/>
    <w:qFormat/>
    <w:rsid w:val="00FA7C50"/>
    <w:pPr>
      <w:keepNext/>
      <w:pageBreakBefore/>
      <w:tabs>
        <w:tab w:val="clear" w:pos="709"/>
      </w:tabs>
      <w:spacing w:before="1200" w:after="240"/>
      <w:ind w:firstLine="0"/>
      <w:jc w:val="center"/>
    </w:pPr>
    <w:rPr>
      <w:b/>
      <w:iCs/>
      <w:smallCaps/>
      <w:sz w:val="22"/>
    </w:rPr>
  </w:style>
  <w:style w:type="character" w:customStyle="1" w:styleId="capituloteseCarcter">
    <w:name w:val="capitulo tese Carácter"/>
    <w:basedOn w:val="textoabreviaturasCarcter"/>
    <w:link w:val="capitulotese"/>
    <w:rsid w:val="00FA7C50"/>
    <w:rPr>
      <w:rFonts w:ascii="Palatino" w:eastAsia="Times New Roman" w:hAnsi="Palatino" w:cs="Times New Roman"/>
      <w:b/>
      <w:iCs/>
      <w:smallCaps/>
      <w:spacing w:val="4"/>
      <w:szCs w:val="28"/>
      <w:lang w:bidi="en-US"/>
    </w:rPr>
  </w:style>
  <w:style w:type="paragraph" w:customStyle="1" w:styleId="textocapitulo">
    <w:name w:val="texto capitulo"/>
    <w:basedOn w:val="textotese"/>
    <w:link w:val="textocapituloCarcter"/>
    <w:qFormat/>
    <w:rsid w:val="00FA7C50"/>
    <w:pPr>
      <w:keepNext/>
      <w:numPr>
        <w:numId w:val="2"/>
      </w:numPr>
      <w:tabs>
        <w:tab w:val="clear" w:pos="709"/>
      </w:tabs>
      <w:spacing w:after="480"/>
      <w:contextualSpacing/>
      <w:jc w:val="center"/>
    </w:pPr>
    <w:rPr>
      <w:b/>
    </w:rPr>
  </w:style>
  <w:style w:type="character" w:customStyle="1" w:styleId="textocapituloCarcter">
    <w:name w:val="texto capitulo Carácter"/>
    <w:basedOn w:val="textoteseCarcter"/>
    <w:link w:val="textocapitulo"/>
    <w:rsid w:val="00FA7C50"/>
    <w:rPr>
      <w:rFonts w:ascii="Palatino" w:hAnsi="Palatino" w:cs="Times New Roman"/>
      <w:b/>
      <w:spacing w:val="4"/>
      <w:sz w:val="25"/>
      <w:lang w:val="en-US"/>
    </w:rPr>
  </w:style>
  <w:style w:type="paragraph" w:customStyle="1" w:styleId="item1">
    <w:name w:val="item 1"/>
    <w:basedOn w:val="textotese"/>
    <w:link w:val="item1Carcter"/>
    <w:qFormat/>
    <w:rsid w:val="00FA7C50"/>
    <w:pPr>
      <w:keepNext/>
      <w:numPr>
        <w:ilvl w:val="1"/>
        <w:numId w:val="2"/>
      </w:numPr>
      <w:spacing w:before="480" w:after="120"/>
    </w:pPr>
    <w:rPr>
      <w:b/>
    </w:rPr>
  </w:style>
  <w:style w:type="character" w:customStyle="1" w:styleId="item1Carcter">
    <w:name w:val="item 1 Carácter"/>
    <w:basedOn w:val="textoteseCarcter"/>
    <w:link w:val="item1"/>
    <w:rsid w:val="00FA7C50"/>
    <w:rPr>
      <w:rFonts w:ascii="Palatino" w:hAnsi="Palatino" w:cs="Times New Roman"/>
      <w:b/>
      <w:spacing w:val="4"/>
      <w:sz w:val="25"/>
      <w:lang w:val="en-US"/>
    </w:rPr>
  </w:style>
  <w:style w:type="paragraph" w:customStyle="1" w:styleId="item2">
    <w:name w:val="item 2"/>
    <w:basedOn w:val="textotese"/>
    <w:link w:val="item2Carcter"/>
    <w:qFormat/>
    <w:rsid w:val="00FA7C50"/>
    <w:pPr>
      <w:keepNext/>
      <w:spacing w:before="360" w:after="120"/>
      <w:ind w:left="1418" w:hanging="567"/>
    </w:pPr>
    <w:rPr>
      <w:i/>
    </w:rPr>
  </w:style>
  <w:style w:type="character" w:customStyle="1" w:styleId="item2Carcter">
    <w:name w:val="item 2 Carácter"/>
    <w:basedOn w:val="textoteseCarcter"/>
    <w:link w:val="item2"/>
    <w:rsid w:val="00FA7C50"/>
    <w:rPr>
      <w:rFonts w:ascii="Palatino" w:hAnsi="Palatino" w:cs="Times New Roman"/>
      <w:i/>
      <w:spacing w:val="4"/>
      <w:sz w:val="25"/>
      <w:lang w:val="en-US"/>
    </w:rPr>
  </w:style>
  <w:style w:type="paragraph" w:customStyle="1" w:styleId="frente">
    <w:name w:val="frente"/>
    <w:basedOn w:val="textotese"/>
    <w:link w:val="frenteCarcter"/>
    <w:qFormat/>
    <w:rsid w:val="00FA7C50"/>
    <w:rPr>
      <w:rFonts w:ascii="Book Antiqua" w:hAnsi="Book Antiqua"/>
    </w:rPr>
  </w:style>
  <w:style w:type="character" w:customStyle="1" w:styleId="frenteCarcter">
    <w:name w:val="frente Carácter"/>
    <w:basedOn w:val="textoteseCarcter"/>
    <w:link w:val="frente"/>
    <w:rsid w:val="00FA7C50"/>
    <w:rPr>
      <w:rFonts w:ascii="Book Antiqua" w:hAnsi="Book Antiqua" w:cs="Times New Roman"/>
      <w:spacing w:val="4"/>
      <w:sz w:val="25"/>
      <w:lang w:val="en-US"/>
    </w:rPr>
  </w:style>
  <w:style w:type="paragraph" w:customStyle="1" w:styleId="item3">
    <w:name w:val="item 3"/>
    <w:basedOn w:val="textotese"/>
    <w:link w:val="item3Carcter"/>
    <w:qFormat/>
    <w:rsid w:val="00FA7C50"/>
    <w:pPr>
      <w:keepNext/>
      <w:spacing w:before="240" w:after="120"/>
    </w:pPr>
  </w:style>
  <w:style w:type="character" w:customStyle="1" w:styleId="item3Carcter">
    <w:name w:val="item 3 Carácter"/>
    <w:basedOn w:val="Ttulo12Carcter"/>
    <w:link w:val="item3"/>
    <w:rsid w:val="00FA7C50"/>
    <w:rPr>
      <w:rFonts w:ascii="Palatino" w:eastAsia="Times New Roman" w:hAnsi="Palatino" w:cs="Times New Roman"/>
      <w:i/>
      <w:spacing w:val="4"/>
      <w:sz w:val="25"/>
      <w:lang w:val="en-US"/>
    </w:rPr>
  </w:style>
  <w:style w:type="paragraph" w:customStyle="1" w:styleId="item31">
    <w:name w:val="item 31"/>
    <w:basedOn w:val="Ttulo12"/>
    <w:next w:val="item3"/>
    <w:qFormat/>
    <w:rsid w:val="00FA7C50"/>
    <w:rPr>
      <w:b/>
    </w:rPr>
  </w:style>
  <w:style w:type="paragraph" w:customStyle="1" w:styleId="Estilo3">
    <w:name w:val="Estilo3"/>
    <w:basedOn w:val="Normal"/>
    <w:link w:val="Estilo3Carcter"/>
    <w:qFormat/>
    <w:rsid w:val="00FA7C50"/>
    <w:pPr>
      <w:tabs>
        <w:tab w:val="left" w:pos="709"/>
      </w:tabs>
    </w:pPr>
    <w:rPr>
      <w:rFonts w:ascii="Book Antiqua" w:hAnsi="Book Antiqua"/>
    </w:rPr>
  </w:style>
  <w:style w:type="character" w:customStyle="1" w:styleId="Estilo3Carcter">
    <w:name w:val="Estilo3 Carácter"/>
    <w:basedOn w:val="Tipodeletrapredefinidodopargrafo"/>
    <w:link w:val="Estilo3"/>
    <w:rsid w:val="00FA7C50"/>
    <w:rPr>
      <w:rFonts w:ascii="Book Antiqua" w:hAnsi="Book Antiqua" w:cs="Times New Roman"/>
      <w:sz w:val="24"/>
      <w:lang w:val="en-US"/>
    </w:rPr>
  </w:style>
  <w:style w:type="paragraph" w:customStyle="1" w:styleId="sintese">
    <w:name w:val="sintese"/>
    <w:basedOn w:val="Estilo3"/>
    <w:link w:val="sinteseCarcter"/>
    <w:qFormat/>
    <w:rsid w:val="00FA7C50"/>
    <w:pPr>
      <w:numPr>
        <w:numId w:val="3"/>
      </w:numPr>
      <w:tabs>
        <w:tab w:val="clear" w:pos="709"/>
        <w:tab w:val="left" w:pos="284"/>
      </w:tabs>
      <w:jc w:val="center"/>
    </w:pPr>
    <w:rPr>
      <w:b/>
    </w:rPr>
  </w:style>
  <w:style w:type="character" w:customStyle="1" w:styleId="sinteseCarcter">
    <w:name w:val="sintese Carácter"/>
    <w:basedOn w:val="Estilo3Carcter"/>
    <w:link w:val="sintese"/>
    <w:rsid w:val="00FA7C50"/>
    <w:rPr>
      <w:rFonts w:ascii="Book Antiqua" w:hAnsi="Book Antiqua" w:cs="Times New Roman"/>
      <w:b/>
      <w:sz w:val="24"/>
      <w:lang w:val="en-US"/>
    </w:rPr>
  </w:style>
  <w:style w:type="paragraph" w:customStyle="1" w:styleId="textosintese">
    <w:name w:val="texto sintese"/>
    <w:basedOn w:val="textotese"/>
    <w:link w:val="textosinteseCarcter"/>
    <w:qFormat/>
    <w:rsid w:val="00FA7C50"/>
    <w:pPr>
      <w:tabs>
        <w:tab w:val="clear" w:pos="709"/>
        <w:tab w:val="left" w:pos="284"/>
      </w:tabs>
      <w:ind w:left="357" w:hanging="357"/>
    </w:pPr>
  </w:style>
  <w:style w:type="character" w:customStyle="1" w:styleId="textosinteseCarcter">
    <w:name w:val="texto sintese Carácter"/>
    <w:basedOn w:val="Estilo3Carcter"/>
    <w:link w:val="textosintese"/>
    <w:rsid w:val="00FA7C50"/>
    <w:rPr>
      <w:rFonts w:ascii="Palatino" w:hAnsi="Palatino" w:cs="Times New Roman"/>
      <w:spacing w:val="4"/>
      <w:sz w:val="25"/>
      <w:lang w:val="en-US"/>
    </w:rPr>
  </w:style>
  <w:style w:type="paragraph" w:styleId="NormalWeb">
    <w:name w:val="Normal (Web)"/>
    <w:basedOn w:val="Normal"/>
    <w:uiPriority w:val="99"/>
    <w:unhideWhenUsed/>
    <w:rsid w:val="000E78B5"/>
    <w:pPr>
      <w:tabs>
        <w:tab w:val="clear" w:pos="1418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000000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E78B5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E78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Y:\2011\7&#9516;&#172;%20Sec&#9500;&#186;&#9500;&#250;o%202011\cons.%20ANT&#9500;&#244;NIO%20SILVA%20GON&#9500;&#231;ALVES\Revista%20n.&#9516;&#9553;%205578.09.OTVLSB.L1.S1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Y:\2011\7&#9516;&#172;%20Sec&#9500;&#186;&#9500;&#250;o%202011\cons.%20ANT&#9500;&#244;NIO%20SILVA%20GON&#9500;&#231;ALVES\Revista%20n.&#9516;&#9553;%205578.09.OTVLSB.L1.S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Y:\2011\7&#9516;&#172;%20Sec&#9500;&#186;&#9500;&#250;o%202011\cons.%20ANT&#9500;&#244;NIO%20SILVA%20GON&#9500;&#231;ALVES\Revista%20n.&#9516;&#9553;%205578.09.OTVLSB.L1.S1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Y:\2011\7&#9516;&#172;%20Sec&#9500;&#186;&#9500;&#250;o%202011\cons.%20ANT&#9500;&#244;NIO%20SILVA%20GON&#9500;&#231;ALVES\Revista%20n.&#9516;&#9553;%205578.09.OTVLSB.L1.S1.do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3326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Anónimo</dc:creator>
  <cp:lastModifiedBy>Laurinda Gemas</cp:lastModifiedBy>
  <cp:revision>2</cp:revision>
  <dcterms:created xsi:type="dcterms:W3CDTF">2017-05-31T19:44:00Z</dcterms:created>
  <dcterms:modified xsi:type="dcterms:W3CDTF">2017-05-31T19:44:00Z</dcterms:modified>
</cp:coreProperties>
</file>