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C8" w:rsidRDefault="00CF5590" w:rsidP="00F23C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Caso 4</w:t>
      </w:r>
    </w:p>
    <w:p w:rsidR="00F23CC8" w:rsidRDefault="00F23CC8" w:rsidP="00F23C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RELATÓRIO</w:t>
      </w:r>
      <w:r>
        <w:rPr>
          <w:color w:val="000000"/>
          <w:sz w:val="27"/>
          <w:szCs w:val="27"/>
        </w:rPr>
        <w:br/>
        <w:t>AA propôs ação administrativa contra a Direção Geral de Alimentação e Veterinária (DGAV), pedindo a sua condenação no pagamento de EUR 25.766,25 a título de danos patrimoniais e de EUR 4.000,00 a título de danos não patrimoniais por si sofridos, com base em responsabilidade civil por ato ilícito.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</w:t>
      </w:r>
      <w:r>
        <w:rPr>
          <w:b/>
          <w:bCs/>
          <w:color w:val="000000"/>
          <w:sz w:val="27"/>
          <w:szCs w:val="27"/>
        </w:rPr>
        <w:t> </w:t>
      </w:r>
      <w:r w:rsidRPr="00CF5590">
        <w:rPr>
          <w:bCs/>
          <w:color w:val="000000"/>
          <w:sz w:val="27"/>
          <w:szCs w:val="27"/>
        </w:rPr>
        <w:t>sentença</w:t>
      </w:r>
      <w:r w:rsidRPr="00CF5590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proferida pelo TAF foi julg</w:t>
      </w:r>
      <w:r w:rsidR="00C3129F">
        <w:rPr>
          <w:color w:val="000000"/>
          <w:sz w:val="27"/>
          <w:szCs w:val="27"/>
        </w:rPr>
        <w:t>ada parcialmente procedente a a</w:t>
      </w:r>
      <w:bookmarkStart w:id="0" w:name="_GoBack"/>
      <w:bookmarkEnd w:id="0"/>
      <w:r>
        <w:rPr>
          <w:color w:val="000000"/>
          <w:sz w:val="27"/>
          <w:szCs w:val="27"/>
        </w:rPr>
        <w:t>ção e</w:t>
      </w:r>
      <w:r>
        <w:rPr>
          <w:color w:val="000000"/>
          <w:sz w:val="27"/>
          <w:szCs w:val="27"/>
        </w:rPr>
        <w:t>: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a) condenado o Réu a pagar à Autora a quantia de EUR 25.766,25 (vinte e cinco mil setecentos e sessenta e seis euros e vinte e cinco cêntimos), a título de danos patrimoniais;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condenado o Réu a pagar à Autora a quantia de EUR 2.000,00 (dois mil euros), a título de danos não patrimoniais;</w:t>
      </w:r>
    </w:p>
    <w:p w:rsidR="00761EF4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Absolvido o Réu do demais peticionado.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FUNDAMENTOS </w:t>
      </w:r>
      <w:r>
        <w:rPr>
          <w:b/>
          <w:bCs/>
          <w:color w:val="000000"/>
          <w:sz w:val="27"/>
          <w:szCs w:val="27"/>
        </w:rPr>
        <w:t>DE FACTO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decisão foi fixada a seguinte </w:t>
      </w:r>
      <w:r>
        <w:rPr>
          <w:b/>
          <w:bCs/>
          <w:color w:val="000000"/>
          <w:sz w:val="27"/>
          <w:szCs w:val="27"/>
        </w:rPr>
        <w:t>factualidade</w:t>
      </w:r>
      <w:r>
        <w:rPr>
          <w:color w:val="000000"/>
          <w:sz w:val="27"/>
          <w:szCs w:val="27"/>
        </w:rPr>
        <w:t>: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A Autora teve como profissão viveirista – produtor/fornecedor de materiais de propagação vitícola -, licenciada pela Direção Geral de Agricultura e Desenvolvimento Rural - DGADR, com o nº de registo ...85, entre os anos de 2010 e 2014, tendo cessado a sua atividade em 2014-07-01.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Para o exercício da sua atividade, a Autora instalou um viveiro de propagação de </w:t>
      </w:r>
      <w:proofErr w:type="spellStart"/>
      <w:r>
        <w:rPr>
          <w:color w:val="000000"/>
          <w:sz w:val="27"/>
          <w:szCs w:val="27"/>
        </w:rPr>
        <w:t>plantas-mãe</w:t>
      </w:r>
      <w:proofErr w:type="spellEnd"/>
      <w:r>
        <w:rPr>
          <w:color w:val="000000"/>
          <w:sz w:val="27"/>
          <w:szCs w:val="27"/>
        </w:rPr>
        <w:t xml:space="preserve"> de videiras “vinha brava” para a obtenção de varas.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Para cumprir a sua atividade, a Autora procedia ao corte das varas, em pequenas estacas para posteriormente serem enraizadas, cujo tamanho podia variar entre 40 cm e/ou 1,20 m.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Estas estacas teriam como destino a venda a um único viveirista alemão, BB, que pretendia adquirir toda a produção de estacas.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A Autora emitiu ao referido viveirista as seguintes faturas: - Fatura n.º 4, de 18.01.2013, no valor global de 17.212,50;</w:t>
      </w:r>
      <w:r>
        <w:rPr>
          <w:color w:val="000000"/>
          <w:sz w:val="27"/>
          <w:szCs w:val="27"/>
        </w:rPr>
        <w:br/>
        <w:t xml:space="preserve">- Fatura </w:t>
      </w:r>
      <w:proofErr w:type="spellStart"/>
      <w:r>
        <w:rPr>
          <w:color w:val="000000"/>
          <w:sz w:val="27"/>
          <w:szCs w:val="27"/>
        </w:rPr>
        <w:t>n.°</w:t>
      </w:r>
      <w:proofErr w:type="spellEnd"/>
      <w:r>
        <w:rPr>
          <w:color w:val="000000"/>
          <w:sz w:val="27"/>
          <w:szCs w:val="27"/>
        </w:rPr>
        <w:t>..., de 23.01.2014, no valor de 16.907,10 €;</w:t>
      </w:r>
      <w:r>
        <w:rPr>
          <w:color w:val="000000"/>
          <w:sz w:val="27"/>
          <w:szCs w:val="27"/>
        </w:rPr>
        <w:br/>
        <w:t xml:space="preserve">- Fatura </w:t>
      </w:r>
      <w:proofErr w:type="spellStart"/>
      <w:r>
        <w:rPr>
          <w:color w:val="000000"/>
          <w:sz w:val="27"/>
          <w:szCs w:val="27"/>
        </w:rPr>
        <w:t>n.°</w:t>
      </w:r>
      <w:proofErr w:type="spellEnd"/>
      <w:r>
        <w:rPr>
          <w:color w:val="000000"/>
          <w:sz w:val="27"/>
          <w:szCs w:val="27"/>
        </w:rPr>
        <w:t>..., de 23.01.2014, no valor de 5.560,65 €.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De acordo com o “Manual de Procedimentos para a Certificação de Material de Propagação de Videira” datado de 2014 e emitido pelo Ministério da Agricultura e do Mar, a época de emissão das etiquetas para “estacas para enxertar ou enraizar e garfos” ocorre entre os o dia 01 de novembro e 30 de abril.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O corte das varas tem de ser efetuado no momento em que as mesmas já estão prontas a ser cortadas e de acordo com a pretensão estipulada pelo fornecedor.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Nos anos de 2012 e 2013, a Autora trabalhou o seu viveiro para poder proceder ao corte das estacas, embalá-las e exportar as mesmas para o seu comprador alemão em meados de dezembro.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A Autora requereu no ano de 2012 e no ano de 2013 a emissão das etiquetas de certificação no início do mês de novembro.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Quando à colheira de 2012, a decisão favorável de aprovação por parte da DGAV ocorreu em 08.01.2013.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Quanto à colheita de 2013, a decisão favorável de aprovação por parte da DGAV ocorreu em 14.01.2014.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Após o pedido, por parte da Autora, de etiquetas à VITICERT, estas foram disponibilizadas a 12.01.2013 e a 17.01.2014.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O tempo decorrido entre o tempo de colheita e o armazenamento das estacas à espera da emissão das etiquetas originou uma infeção fúngica nas estacas colhidas para enxertar ou enraizar.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As varas ficaram inutilizadas para exportação.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A Autora emitiu as seguintes Notas de Crédito ao fornecedor:</w:t>
      </w:r>
      <w:r>
        <w:rPr>
          <w:color w:val="000000"/>
          <w:sz w:val="27"/>
          <w:szCs w:val="27"/>
        </w:rPr>
        <w:br/>
        <w:t xml:space="preserve">- Nota de Crédito </w:t>
      </w:r>
      <w:proofErr w:type="spellStart"/>
      <w:r>
        <w:rPr>
          <w:color w:val="000000"/>
          <w:sz w:val="27"/>
          <w:szCs w:val="27"/>
        </w:rPr>
        <w:t>n.°</w:t>
      </w:r>
      <w:proofErr w:type="spellEnd"/>
      <w:r>
        <w:rPr>
          <w:color w:val="000000"/>
          <w:sz w:val="27"/>
          <w:szCs w:val="27"/>
        </w:rPr>
        <w:t xml:space="preserve"> 1, emitida em 10.01.2014, no valor de 3.298,50 €, relativa à Fatura </w:t>
      </w:r>
      <w:proofErr w:type="spellStart"/>
      <w:r>
        <w:rPr>
          <w:color w:val="000000"/>
          <w:sz w:val="27"/>
          <w:szCs w:val="27"/>
        </w:rPr>
        <w:t>n.°</w:t>
      </w:r>
      <w:proofErr w:type="spellEnd"/>
      <w:r>
        <w:rPr>
          <w:color w:val="000000"/>
          <w:sz w:val="27"/>
          <w:szCs w:val="27"/>
        </w:rPr>
        <w:t xml:space="preserve"> 4, de 18.01.2013, no valor de 17.212,50 €;</w:t>
      </w:r>
      <w:r>
        <w:rPr>
          <w:color w:val="000000"/>
          <w:sz w:val="27"/>
          <w:szCs w:val="27"/>
        </w:rPr>
        <w:br/>
        <w:t>- Nota de Crédito n.º 2, emitida em 24.04.2014, no valor de 16.907,10 €, relativa à Fatura n.º..., de 23.01.2014, no valor de 16.907,10 €;</w:t>
      </w:r>
      <w:r>
        <w:rPr>
          <w:color w:val="000000"/>
          <w:sz w:val="27"/>
          <w:szCs w:val="27"/>
        </w:rPr>
        <w:br/>
        <w:t xml:space="preserve">- Nota de Crédito </w:t>
      </w:r>
      <w:proofErr w:type="spellStart"/>
      <w:r>
        <w:rPr>
          <w:color w:val="000000"/>
          <w:sz w:val="27"/>
          <w:szCs w:val="27"/>
        </w:rPr>
        <w:t>n.°</w:t>
      </w:r>
      <w:proofErr w:type="spellEnd"/>
      <w:r>
        <w:rPr>
          <w:color w:val="000000"/>
          <w:sz w:val="27"/>
          <w:szCs w:val="27"/>
        </w:rPr>
        <w:t xml:space="preserve"> 3, emitida em 24.04.2014, no valor de 5.560,65 €, relativa à Fatura n.º..., de 23.01.2014, no valor de 5.560,65 €.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As atividades e as circunstâncias do viveiro da propriedade da Autora eram do conhecimento da Direção Regional da Agricultura e Pescas do Norte e da DGAV, entidades que foram instadas para a urgência na emissão dos certificados e acompanharam o desenvolvimento da atividade da Autora.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No 2014, os serviços da Ré comunicaram todas as decisões relativas a estacaria (porta enxertos) à </w:t>
      </w:r>
      <w:proofErr w:type="spellStart"/>
      <w:r>
        <w:rPr>
          <w:color w:val="000000"/>
          <w:sz w:val="27"/>
          <w:szCs w:val="27"/>
        </w:rPr>
        <w:t>Viticert</w:t>
      </w:r>
      <w:proofErr w:type="spellEnd"/>
      <w:r>
        <w:rPr>
          <w:color w:val="000000"/>
          <w:sz w:val="27"/>
          <w:szCs w:val="27"/>
        </w:rPr>
        <w:t xml:space="preserve"> apenas em meados de janeiro, com vista a garantir a equidade de acesso ao pedido de etiquetas por parte de todos os viveiristas.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A Autora viu-se obrigada a cessar a atividade profissional em virtude das dificuldades de certificação que vêm descritas, com os inerentes prejuízos para a sua vida pessoal e profissional.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As </w:t>
      </w:r>
      <w:proofErr w:type="spellStart"/>
      <w:r>
        <w:rPr>
          <w:color w:val="000000"/>
          <w:sz w:val="27"/>
          <w:szCs w:val="27"/>
        </w:rPr>
        <w:t>vinhas-mãe</w:t>
      </w:r>
      <w:proofErr w:type="spellEnd"/>
      <w:r>
        <w:rPr>
          <w:color w:val="000000"/>
          <w:sz w:val="27"/>
          <w:szCs w:val="27"/>
        </w:rPr>
        <w:t xml:space="preserve"> da Autora não foram inspecionadas pela Direção Regional de Agricultura e Pescas do Norte (DRAPN) desde 2010, tendo-se mantido nessa situação até 2013.</w:t>
      </w:r>
    </w:p>
    <w:p w:rsidR="00CF5590" w:rsidRDefault="00CF5590" w:rsidP="00761EF4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Por ofício de 28.12.2012, a Ré deu conhecimento à </w:t>
      </w:r>
      <w:proofErr w:type="spellStart"/>
      <w:r>
        <w:rPr>
          <w:color w:val="000000"/>
          <w:sz w:val="27"/>
          <w:szCs w:val="27"/>
        </w:rPr>
        <w:t>Viticert</w:t>
      </w:r>
      <w:proofErr w:type="spellEnd"/>
      <w:r>
        <w:rPr>
          <w:color w:val="000000"/>
          <w:sz w:val="27"/>
          <w:szCs w:val="27"/>
        </w:rPr>
        <w:t xml:space="preserve"> de que na região de Trás-os-Montes, do total das parcelas inscritas (163 parcelas de vinhas mãe de garfos e 30 parcelas de vinha mãe de porta enxertos), 105 não foram inspecionadas nos últimos 3 anos, dada a escassez de recursos humanos da DRAPN.</w:t>
      </w:r>
    </w:p>
    <w:p w:rsidR="00CF5590" w:rsidRPr="00815AA1" w:rsidRDefault="00CF5590" w:rsidP="00761E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</w:rPr>
        <w:t>21. Por ofício de 28.12.2012, entre outros, a Ré deu conhecimento à DRAPN de que na região de Trás-os-Montes, do total das parcelas inscritas (163 parcelas de vinhas mãe de garfos e 30 parcelas de vinha mãe de porta enxertos), 105 não foram inspecionadas nos últimos 3 anos, alertando, entre outros, para o potencial risco de dispersão de doenças da videira, em particular da Flavescência Dourada.</w:t>
      </w:r>
    </w:p>
    <w:sectPr w:rsidR="00CF5590" w:rsidRPr="00815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9AC"/>
    <w:multiLevelType w:val="hybridMultilevel"/>
    <w:tmpl w:val="C78489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A330B"/>
    <w:multiLevelType w:val="hybridMultilevel"/>
    <w:tmpl w:val="B26458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A43"/>
    <w:multiLevelType w:val="hybridMultilevel"/>
    <w:tmpl w:val="378C6BD2"/>
    <w:lvl w:ilvl="0" w:tplc="9F12D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30562"/>
    <w:multiLevelType w:val="hybridMultilevel"/>
    <w:tmpl w:val="DED2CDA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F"/>
    <w:rsid w:val="001524CB"/>
    <w:rsid w:val="002B638D"/>
    <w:rsid w:val="00430E4F"/>
    <w:rsid w:val="00440EB3"/>
    <w:rsid w:val="005E770F"/>
    <w:rsid w:val="00761EF4"/>
    <w:rsid w:val="00815AA1"/>
    <w:rsid w:val="008930FA"/>
    <w:rsid w:val="0099513F"/>
    <w:rsid w:val="00C13410"/>
    <w:rsid w:val="00C3129F"/>
    <w:rsid w:val="00CB4BD8"/>
    <w:rsid w:val="00CF5590"/>
    <w:rsid w:val="00DF6B13"/>
    <w:rsid w:val="00E10604"/>
    <w:rsid w:val="00F2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3382"/>
  <w15:chartTrackingRefBased/>
  <w15:docId w15:val="{E14FEC0B-1B65-4098-B99B-E6E738D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Duarte</dc:creator>
  <cp:keywords/>
  <dc:description/>
  <cp:lastModifiedBy>Fernando Duarte</cp:lastModifiedBy>
  <cp:revision>4</cp:revision>
  <dcterms:created xsi:type="dcterms:W3CDTF">2023-12-05T17:29:00Z</dcterms:created>
  <dcterms:modified xsi:type="dcterms:W3CDTF">2023-12-05T17:33:00Z</dcterms:modified>
</cp:coreProperties>
</file>