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633343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91AD" w14:textId="77777777" w:rsidR="00633343" w:rsidRDefault="00633343" w:rsidP="00A66B18">
      <w:pPr>
        <w:spacing w:before="0" w:after="0"/>
      </w:pPr>
      <w:r>
        <w:separator/>
      </w:r>
    </w:p>
  </w:endnote>
  <w:endnote w:type="continuationSeparator" w:id="0">
    <w:p w14:paraId="13C23DFD" w14:textId="77777777" w:rsidR="00633343" w:rsidRDefault="0063334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3F5C" w14:textId="77777777" w:rsidR="00633343" w:rsidRDefault="00633343" w:rsidP="00A66B18">
      <w:pPr>
        <w:spacing w:before="0" w:after="0"/>
      </w:pPr>
      <w:r>
        <w:separator/>
      </w:r>
    </w:p>
  </w:footnote>
  <w:footnote w:type="continuationSeparator" w:id="0">
    <w:p w14:paraId="15023502" w14:textId="77777777" w:rsidR="00633343" w:rsidRDefault="0063334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C10F289" w14:textId="77777777" w:rsidR="00C849AC" w:rsidRDefault="00C849AC" w:rsidP="00ED3666">
          <w:pPr>
            <w:spacing w:after="120"/>
            <w:rPr>
              <w:rFonts w:ascii="Aptos" w:hAnsi="Aptos"/>
              <w:b/>
              <w:bCs/>
              <w:color w:val="auto"/>
              <w:sz w:val="28"/>
              <w:szCs w:val="28"/>
            </w:rPr>
          </w:pPr>
          <w:r w:rsidRPr="00C849AC">
            <w:rPr>
              <w:rFonts w:ascii="Aptos" w:hAnsi="Aptos"/>
              <w:b/>
              <w:bCs/>
              <w:color w:val="auto"/>
              <w:sz w:val="28"/>
              <w:szCs w:val="28"/>
            </w:rPr>
            <w:t>Seminário sobre questões de direito do consumo e de direito bancário: O direito do consumo e o sistema financeiro – o equilíbrio possível</w:t>
          </w:r>
          <w:r w:rsidRPr="00C849AC">
            <w:rPr>
              <w:rFonts w:ascii="Aptos" w:hAnsi="Aptos"/>
              <w:b/>
              <w:bCs/>
              <w:color w:val="auto"/>
              <w:sz w:val="28"/>
              <w:szCs w:val="28"/>
            </w:rPr>
            <w:t xml:space="preserve"> </w:t>
          </w:r>
        </w:p>
        <w:p w14:paraId="0D78C6B9" w14:textId="0B3B469F" w:rsidR="00ED3666" w:rsidRPr="008F242C" w:rsidRDefault="00C849AC" w:rsidP="00ED3666">
          <w:pPr>
            <w:spacing w:after="120"/>
            <w:rPr>
              <w:rFonts w:ascii="Aptos" w:hAnsi="Aptos"/>
              <w:b/>
              <w:bCs/>
              <w:color w:val="0B6FD3"/>
            </w:rPr>
          </w:pPr>
          <w:r w:rsidRPr="00C849AC">
            <w:rPr>
              <w:rFonts w:ascii="Aptos" w:hAnsi="Aptos"/>
              <w:b/>
              <w:bCs/>
              <w:color w:val="0B6FD3"/>
            </w:rPr>
            <w:t>29 de maio de 2026</w:t>
          </w:r>
        </w:p>
        <w:p w14:paraId="6D6C4F84" w14:textId="77777777" w:rsidR="00ED3666" w:rsidRPr="008F242C" w:rsidRDefault="00ED3666" w:rsidP="00ED3666">
          <w:pPr>
            <w:spacing w:after="120"/>
            <w:rPr>
              <w:rFonts w:ascii="Aptos" w:hAnsi="Aptos"/>
              <w:color w:val="auto"/>
            </w:rPr>
          </w:pPr>
          <w:r w:rsidRPr="008F242C">
            <w:rPr>
              <w:rFonts w:ascii="Aptos" w:hAnsi="Aptos"/>
              <w:b/>
              <w:bCs/>
              <w:color w:val="auto"/>
            </w:rPr>
            <w:t>Lisboa | CEJ</w:t>
          </w:r>
          <w:r w:rsidRPr="008F242C">
            <w:rPr>
              <w:rFonts w:ascii="Aptos" w:hAnsi="Aptos"/>
              <w:color w:val="auto"/>
            </w:rPr>
            <w:t xml:space="preserve">, Auditório Álvaro Laborinho Lúcio </w:t>
          </w:r>
        </w:p>
        <w:p w14:paraId="4789D216" w14:textId="0C37C7DE" w:rsidR="005D636C" w:rsidRPr="00E76064" w:rsidRDefault="005D636C" w:rsidP="001518B5">
          <w:pPr>
            <w:spacing w:before="60" w:after="6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6BCF3EDA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C849AC">
            <w:rPr>
              <w:rFonts w:ascii="Calibri" w:eastAsia="Calibri" w:hAnsi="Calibri" w:cs="Times New Roman"/>
              <w:color w:val="auto"/>
              <w:kern w:val="0"/>
              <w:sz w:val="20"/>
            </w:rPr>
            <w:t>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 w:rsidP="001518B5">
    <w:pPr>
      <w:pStyle w:val="Cabealho"/>
      <w:ind w:left="0"/>
      <w:jc w:val="left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155FF"/>
    <w:rsid w:val="00127B8B"/>
    <w:rsid w:val="00130809"/>
    <w:rsid w:val="001518B5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23EFE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353A8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3343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30FD0"/>
    <w:rsid w:val="00835B78"/>
    <w:rsid w:val="00852DE6"/>
    <w:rsid w:val="00856DF1"/>
    <w:rsid w:val="00865D4B"/>
    <w:rsid w:val="0088696B"/>
    <w:rsid w:val="008A4ED2"/>
    <w:rsid w:val="008B5BF9"/>
    <w:rsid w:val="008F1A04"/>
    <w:rsid w:val="008F242C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849AC"/>
    <w:rsid w:val="00C915C7"/>
    <w:rsid w:val="00C97C6B"/>
    <w:rsid w:val="00CC467E"/>
    <w:rsid w:val="00CF2CCE"/>
    <w:rsid w:val="00D07FFB"/>
    <w:rsid w:val="00D10958"/>
    <w:rsid w:val="00D12318"/>
    <w:rsid w:val="00D34581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3666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022F09"/>
    <w:rsid w:val="00130809"/>
    <w:rsid w:val="00197465"/>
    <w:rsid w:val="003434C9"/>
    <w:rsid w:val="003D3BC8"/>
    <w:rsid w:val="00402498"/>
    <w:rsid w:val="004412B7"/>
    <w:rsid w:val="004F4A42"/>
    <w:rsid w:val="005B73DE"/>
    <w:rsid w:val="005F5FCF"/>
    <w:rsid w:val="00612220"/>
    <w:rsid w:val="00613AC0"/>
    <w:rsid w:val="00835B78"/>
    <w:rsid w:val="00856DF1"/>
    <w:rsid w:val="00987477"/>
    <w:rsid w:val="0099105E"/>
    <w:rsid w:val="009F17AF"/>
    <w:rsid w:val="00AC3E40"/>
    <w:rsid w:val="00CB59F2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7</cp:revision>
  <dcterms:created xsi:type="dcterms:W3CDTF">2026-03-19T14:43:00Z</dcterms:created>
  <dcterms:modified xsi:type="dcterms:W3CDTF">2026-05-11T11:34:00Z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